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A890" w14:textId="7C55F044" w:rsidR="00B165F8" w:rsidRPr="00B165F8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b/>
          <w:bCs/>
          <w:i/>
          <w:iCs/>
          <w:sz w:val="19"/>
          <w:szCs w:val="19"/>
          <w:u w:val="single"/>
        </w:rPr>
      </w:pPr>
      <w:r w:rsidRPr="00B165F8">
        <w:rPr>
          <w:rFonts w:ascii="Tahoma" w:hAnsi="Tahoma" w:cs="Tahoma"/>
          <w:b/>
          <w:bCs/>
          <w:i/>
          <w:iCs/>
          <w:szCs w:val="20"/>
          <w:u w:val="single"/>
        </w:rPr>
        <w:t>P</w:t>
      </w:r>
      <w:r w:rsidRPr="00B165F8">
        <w:rPr>
          <w:rFonts w:ascii="Tahoma" w:hAnsi="Tahoma" w:cs="Tahoma"/>
          <w:b/>
          <w:bCs/>
          <w:i/>
          <w:iCs/>
          <w:szCs w:val="20"/>
          <w:u w:val="single"/>
        </w:rPr>
        <w:t>olitik</w:t>
      </w:r>
      <w:r w:rsidRPr="00B165F8">
        <w:rPr>
          <w:rFonts w:ascii="Tahoma" w:hAnsi="Tahoma" w:cs="Tahoma"/>
          <w:b/>
          <w:bCs/>
          <w:i/>
          <w:iCs/>
          <w:szCs w:val="20"/>
          <w:u w:val="single"/>
        </w:rPr>
        <w:t>a</w:t>
      </w:r>
      <w:r w:rsidRPr="00B165F8">
        <w:rPr>
          <w:rFonts w:ascii="Tahoma" w:hAnsi="Tahoma" w:cs="Tahoma"/>
          <w:b/>
          <w:bCs/>
          <w:i/>
          <w:iCs/>
          <w:szCs w:val="20"/>
          <w:u w:val="single"/>
        </w:rPr>
        <w:t xml:space="preserve"> zavarovanja do Ukrajine</w:t>
      </w:r>
      <w:r w:rsidRPr="00B165F8">
        <w:rPr>
          <w:rFonts w:ascii="Tahoma" w:hAnsi="Tahoma" w:cs="Tahoma"/>
          <w:b/>
          <w:bCs/>
          <w:i/>
          <w:iCs/>
          <w:sz w:val="19"/>
          <w:szCs w:val="19"/>
          <w:u w:val="single"/>
        </w:rPr>
        <w:t xml:space="preserve"> - k</w:t>
      </w:r>
      <w:r w:rsidRPr="00B165F8">
        <w:rPr>
          <w:rFonts w:ascii="Tahoma" w:hAnsi="Tahoma" w:cs="Tahoma"/>
          <w:b/>
          <w:bCs/>
          <w:i/>
          <w:iCs/>
          <w:sz w:val="19"/>
          <w:szCs w:val="19"/>
          <w:u w:val="single"/>
        </w:rPr>
        <w:t>ritja vključena v jamstveno shemo EIF</w:t>
      </w:r>
      <w:r w:rsidRPr="00B165F8">
        <w:rPr>
          <w:rFonts w:ascii="Tahoma" w:hAnsi="Tahoma" w:cs="Tahoma"/>
          <w:b/>
          <w:bCs/>
          <w:i/>
          <w:iCs/>
          <w:sz w:val="19"/>
          <w:szCs w:val="19"/>
          <w:u w:val="single"/>
        </w:rPr>
        <w:t>:</w:t>
      </w:r>
    </w:p>
    <w:p w14:paraId="49E79A0B" w14:textId="77777777" w:rsidR="00B165F8" w:rsidRPr="0044761F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  <w:r w:rsidRPr="0044761F">
        <w:rPr>
          <w:rFonts w:ascii="Tahoma" w:hAnsi="Tahoma" w:cs="Tahoma"/>
          <w:i/>
          <w:iCs/>
          <w:sz w:val="19"/>
          <w:szCs w:val="19"/>
        </w:rPr>
        <w:t xml:space="preserve">- izključitev poslov na naslednjih območjih: (a) Avtonomna republika Krim in mesto Sevastopol ter (b) vsa sankcionirana območja, vključno z območji Ukrajine, ki niso pod nadzorom vlade, kot so opredeljena v Uredbi Sveta (EU) št. 2022/263 s spremembami (npr. </w:t>
      </w:r>
      <w:proofErr w:type="spellStart"/>
      <w:r w:rsidRPr="0044761F">
        <w:rPr>
          <w:rFonts w:ascii="Tahoma" w:hAnsi="Tahoma" w:cs="Tahoma"/>
          <w:i/>
          <w:iCs/>
          <w:sz w:val="19"/>
          <w:szCs w:val="19"/>
        </w:rPr>
        <w:t>Doneck</w:t>
      </w:r>
      <w:proofErr w:type="spellEnd"/>
      <w:r w:rsidRPr="0044761F">
        <w:rPr>
          <w:rFonts w:ascii="Tahoma" w:hAnsi="Tahoma" w:cs="Tahoma"/>
          <w:i/>
          <w:iCs/>
          <w:sz w:val="19"/>
          <w:szCs w:val="19"/>
        </w:rPr>
        <w:t xml:space="preserve">, </w:t>
      </w:r>
      <w:proofErr w:type="spellStart"/>
      <w:r w:rsidRPr="0044761F">
        <w:rPr>
          <w:rFonts w:ascii="Tahoma" w:hAnsi="Tahoma" w:cs="Tahoma"/>
          <w:i/>
          <w:iCs/>
          <w:sz w:val="19"/>
          <w:szCs w:val="19"/>
        </w:rPr>
        <w:t>Herson</w:t>
      </w:r>
      <w:proofErr w:type="spellEnd"/>
      <w:r w:rsidRPr="0044761F">
        <w:rPr>
          <w:rFonts w:ascii="Tahoma" w:hAnsi="Tahoma" w:cs="Tahoma"/>
          <w:i/>
          <w:iCs/>
          <w:sz w:val="19"/>
          <w:szCs w:val="19"/>
        </w:rPr>
        <w:t xml:space="preserve">, </w:t>
      </w:r>
      <w:proofErr w:type="spellStart"/>
      <w:r w:rsidRPr="0044761F">
        <w:rPr>
          <w:rFonts w:ascii="Tahoma" w:hAnsi="Tahoma" w:cs="Tahoma"/>
          <w:i/>
          <w:iCs/>
          <w:sz w:val="19"/>
          <w:szCs w:val="19"/>
        </w:rPr>
        <w:t>Lugansk</w:t>
      </w:r>
      <w:proofErr w:type="spellEnd"/>
      <w:r w:rsidRPr="0044761F">
        <w:rPr>
          <w:rFonts w:ascii="Tahoma" w:hAnsi="Tahoma" w:cs="Tahoma"/>
          <w:i/>
          <w:iCs/>
          <w:sz w:val="19"/>
          <w:szCs w:val="19"/>
        </w:rPr>
        <w:t xml:space="preserve"> in Zaporožje)</w:t>
      </w:r>
    </w:p>
    <w:p w14:paraId="550D69E4" w14:textId="7EC7A76A" w:rsidR="00B165F8" w:rsidRPr="0044761F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  <w:r w:rsidRPr="0044761F">
        <w:rPr>
          <w:rFonts w:ascii="Tahoma" w:hAnsi="Tahoma" w:cs="Tahoma"/>
          <w:i/>
          <w:iCs/>
          <w:sz w:val="19"/>
          <w:szCs w:val="19"/>
        </w:rPr>
        <w:t>- MSP kot jih opredeljuje priporočilo Evropske komisije</w:t>
      </w:r>
      <w:r>
        <w:rPr>
          <w:rFonts w:ascii="Tahoma" w:hAnsi="Tahoma" w:cs="Tahoma"/>
          <w:i/>
          <w:iCs/>
          <w:sz w:val="19"/>
          <w:szCs w:val="19"/>
          <w:vertAlign w:val="superscript"/>
        </w:rPr>
        <w:t>*</w:t>
      </w:r>
      <w:r w:rsidRPr="0044761F">
        <w:rPr>
          <w:rFonts w:ascii="Tahoma" w:hAnsi="Tahoma" w:cs="Tahoma"/>
          <w:i/>
          <w:iCs/>
          <w:sz w:val="19"/>
          <w:szCs w:val="19"/>
        </w:rPr>
        <w:t xml:space="preserve"> in podjetja s srednje veliko kapitalizacijo (podjetje z manj kot 500 zaposlenimi s polnim delovnim časom, ki ni MSP) </w:t>
      </w:r>
    </w:p>
    <w:p w14:paraId="7EA43E1E" w14:textId="77777777" w:rsidR="00B165F8" w:rsidRPr="0044761F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  <w:r w:rsidRPr="0044761F">
        <w:rPr>
          <w:rFonts w:ascii="Tahoma" w:hAnsi="Tahoma" w:cs="Tahoma"/>
          <w:i/>
          <w:iCs/>
          <w:sz w:val="19"/>
          <w:szCs w:val="19"/>
        </w:rPr>
        <w:t xml:space="preserve">- lastni delež: </w:t>
      </w:r>
      <w:r>
        <w:rPr>
          <w:rFonts w:ascii="Tahoma" w:hAnsi="Tahoma" w:cs="Tahoma"/>
          <w:i/>
          <w:iCs/>
          <w:sz w:val="19"/>
          <w:szCs w:val="19"/>
        </w:rPr>
        <w:t xml:space="preserve">do </w:t>
      </w:r>
      <w:r w:rsidRPr="0044761F">
        <w:rPr>
          <w:rFonts w:ascii="Tahoma" w:hAnsi="Tahoma" w:cs="Tahoma"/>
          <w:i/>
          <w:iCs/>
          <w:sz w:val="19"/>
          <w:szCs w:val="19"/>
        </w:rPr>
        <w:t xml:space="preserve">10 % </w:t>
      </w:r>
    </w:p>
    <w:p w14:paraId="7DF0137C" w14:textId="77777777" w:rsidR="00B165F8" w:rsidRPr="0044761F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  <w:r w:rsidRPr="0044761F">
        <w:rPr>
          <w:rFonts w:ascii="Tahoma" w:hAnsi="Tahoma" w:cs="Tahoma"/>
          <w:i/>
          <w:iCs/>
          <w:sz w:val="19"/>
          <w:szCs w:val="19"/>
        </w:rPr>
        <w:t>- kritje: do 100 % rizik</w:t>
      </w:r>
      <w:r>
        <w:rPr>
          <w:rFonts w:ascii="Tahoma" w:hAnsi="Tahoma" w:cs="Tahoma"/>
          <w:i/>
          <w:iCs/>
          <w:sz w:val="19"/>
          <w:szCs w:val="19"/>
        </w:rPr>
        <w:t>a neplačila ukrajinskega dolžnika v trajanju najmanj 90 dni</w:t>
      </w:r>
    </w:p>
    <w:p w14:paraId="7E286F5C" w14:textId="77777777" w:rsidR="00B165F8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  <w:r>
        <w:rPr>
          <w:rFonts w:ascii="Tahoma" w:hAnsi="Tahoma" w:cs="Tahoma"/>
          <w:i/>
          <w:iCs/>
          <w:sz w:val="19"/>
          <w:szCs w:val="19"/>
        </w:rPr>
        <w:t xml:space="preserve">- limit po posameznem kupcu ni opredeljen, ne sme pa povzročiti preseganja skupnega limita </w:t>
      </w:r>
      <w:r w:rsidRPr="00EC28E6">
        <w:rPr>
          <w:rFonts w:ascii="Tahoma" w:hAnsi="Tahoma" w:cs="Tahoma"/>
          <w:i/>
          <w:iCs/>
          <w:sz w:val="19"/>
          <w:szCs w:val="19"/>
        </w:rPr>
        <w:t>30</w:t>
      </w:r>
      <w:r w:rsidRPr="00895759">
        <w:rPr>
          <w:rFonts w:ascii="Tahoma" w:hAnsi="Tahoma" w:cs="Tahoma"/>
          <w:i/>
          <w:iCs/>
          <w:sz w:val="19"/>
          <w:szCs w:val="19"/>
        </w:rPr>
        <w:t xml:space="preserve"> mio</w:t>
      </w:r>
      <w:r>
        <w:rPr>
          <w:rFonts w:ascii="Tahoma" w:hAnsi="Tahoma" w:cs="Tahoma"/>
          <w:i/>
          <w:iCs/>
          <w:sz w:val="19"/>
          <w:szCs w:val="19"/>
        </w:rPr>
        <w:t xml:space="preserve"> EUR</w:t>
      </w:r>
    </w:p>
    <w:p w14:paraId="70450B3D" w14:textId="77777777" w:rsidR="00B165F8" w:rsidRPr="0044761F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  <w:r w:rsidRPr="0044761F">
        <w:rPr>
          <w:rFonts w:ascii="Tahoma" w:hAnsi="Tahoma" w:cs="Tahoma"/>
          <w:i/>
          <w:iCs/>
          <w:sz w:val="19"/>
          <w:szCs w:val="19"/>
        </w:rPr>
        <w:t>- obdobje vključitve</w:t>
      </w:r>
      <w:r>
        <w:rPr>
          <w:rFonts w:ascii="Tahoma" w:hAnsi="Tahoma" w:cs="Tahoma"/>
          <w:i/>
          <w:iCs/>
          <w:sz w:val="19"/>
          <w:szCs w:val="19"/>
        </w:rPr>
        <w:t xml:space="preserve"> poslov v shemo</w:t>
      </w:r>
      <w:r w:rsidRPr="0044761F">
        <w:rPr>
          <w:rFonts w:ascii="Tahoma" w:hAnsi="Tahoma" w:cs="Tahoma"/>
          <w:i/>
          <w:iCs/>
          <w:sz w:val="19"/>
          <w:szCs w:val="19"/>
        </w:rPr>
        <w:t xml:space="preserve">: največ tri leta </w:t>
      </w:r>
    </w:p>
    <w:p w14:paraId="23CD15E1" w14:textId="77777777" w:rsidR="00B165F8" w:rsidRPr="0044761F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  <w:r w:rsidRPr="0044761F">
        <w:rPr>
          <w:rFonts w:ascii="Tahoma" w:hAnsi="Tahoma" w:cs="Tahoma"/>
          <w:i/>
          <w:iCs/>
          <w:sz w:val="19"/>
          <w:szCs w:val="19"/>
        </w:rPr>
        <w:t>- obdobje kritja: največ 12 let po izteku obdobja vključitve (predvidoma do 28. 9. 2028)</w:t>
      </w:r>
    </w:p>
    <w:p w14:paraId="0DCD0FD0" w14:textId="77777777" w:rsidR="00B165F8" w:rsidRPr="0044761F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  <w:r w:rsidRPr="0044761F">
        <w:rPr>
          <w:rFonts w:ascii="Tahoma" w:hAnsi="Tahoma" w:cs="Tahoma"/>
          <w:i/>
          <w:iCs/>
          <w:sz w:val="19"/>
          <w:szCs w:val="19"/>
        </w:rPr>
        <w:t>- najkrajša ročnost</w:t>
      </w:r>
      <w:r>
        <w:rPr>
          <w:rFonts w:ascii="Tahoma" w:hAnsi="Tahoma" w:cs="Tahoma"/>
          <w:i/>
          <w:iCs/>
          <w:sz w:val="19"/>
          <w:szCs w:val="19"/>
        </w:rPr>
        <w:t xml:space="preserve"> oziroma rok plačila</w:t>
      </w:r>
      <w:r w:rsidRPr="0044761F">
        <w:rPr>
          <w:rFonts w:ascii="Tahoma" w:hAnsi="Tahoma" w:cs="Tahoma"/>
          <w:i/>
          <w:iCs/>
          <w:sz w:val="19"/>
          <w:szCs w:val="19"/>
        </w:rPr>
        <w:t>: 1 mesec</w:t>
      </w:r>
      <w:r>
        <w:rPr>
          <w:rFonts w:ascii="Tahoma" w:hAnsi="Tahoma" w:cs="Tahoma"/>
          <w:i/>
          <w:iCs/>
          <w:sz w:val="19"/>
          <w:szCs w:val="19"/>
        </w:rPr>
        <w:t>, prejem avansa ni pogoj</w:t>
      </w:r>
    </w:p>
    <w:p w14:paraId="0EE46573" w14:textId="77777777" w:rsidR="00B165F8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  <w:r w:rsidRPr="0044761F">
        <w:rPr>
          <w:rFonts w:ascii="Tahoma" w:hAnsi="Tahoma" w:cs="Tahoma"/>
          <w:i/>
          <w:iCs/>
          <w:sz w:val="19"/>
          <w:szCs w:val="19"/>
        </w:rPr>
        <w:t xml:space="preserve">- skladnost s pravili in izključitvami EIB, EIF, </w:t>
      </w:r>
      <w:proofErr w:type="spellStart"/>
      <w:r w:rsidRPr="0044761F">
        <w:rPr>
          <w:rFonts w:ascii="Tahoma" w:hAnsi="Tahoma" w:cs="Tahoma"/>
          <w:i/>
          <w:iCs/>
          <w:sz w:val="19"/>
          <w:szCs w:val="19"/>
        </w:rPr>
        <w:t>InvestEU</w:t>
      </w:r>
      <w:proofErr w:type="spellEnd"/>
      <w:r>
        <w:rPr>
          <w:rFonts w:ascii="Tahoma" w:hAnsi="Tahoma" w:cs="Tahoma"/>
          <w:i/>
          <w:iCs/>
          <w:sz w:val="19"/>
          <w:szCs w:val="19"/>
        </w:rPr>
        <w:t>.</w:t>
      </w:r>
      <w:r w:rsidRPr="0044761F">
        <w:rPr>
          <w:rFonts w:ascii="Tahoma" w:hAnsi="Tahoma" w:cs="Tahoma"/>
          <w:i/>
          <w:iCs/>
          <w:sz w:val="19"/>
          <w:szCs w:val="19"/>
        </w:rPr>
        <w:t xml:space="preserve"> </w:t>
      </w:r>
    </w:p>
    <w:p w14:paraId="6B1499CF" w14:textId="77777777" w:rsidR="00B165F8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</w:p>
    <w:p w14:paraId="5F3CF12E" w14:textId="77777777" w:rsidR="00B165F8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</w:p>
    <w:p w14:paraId="3FFD52F8" w14:textId="7C28914D" w:rsidR="00B165F8" w:rsidRDefault="00B165F8" w:rsidP="00B16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ahoma" w:hAnsi="Tahoma" w:cs="Tahoma"/>
          <w:i/>
          <w:iCs/>
          <w:sz w:val="19"/>
          <w:szCs w:val="19"/>
        </w:rPr>
      </w:pPr>
      <w:r>
        <w:rPr>
          <w:rFonts w:ascii="Tahoma" w:hAnsi="Tahoma" w:cs="Tahoma"/>
          <w:i/>
          <w:iCs/>
          <w:sz w:val="19"/>
          <w:szCs w:val="19"/>
          <w:vertAlign w:val="superscript"/>
        </w:rPr>
        <w:t xml:space="preserve">* </w:t>
      </w:r>
      <w:r w:rsidRPr="00EC28E6">
        <w:rPr>
          <w:rFonts w:ascii="Tahoma" w:hAnsi="Tahoma" w:cs="Tahoma"/>
          <w:i/>
          <w:iCs/>
          <w:sz w:val="19"/>
          <w:szCs w:val="19"/>
        </w:rPr>
        <w:t xml:space="preserve">Priporočilo Evropske komisije z dne 6. maja 2003 o opredelitvi </w:t>
      </w:r>
      <w:proofErr w:type="spellStart"/>
      <w:r w:rsidRPr="00EC28E6">
        <w:rPr>
          <w:rFonts w:ascii="Tahoma" w:hAnsi="Tahoma" w:cs="Tahoma"/>
          <w:i/>
          <w:iCs/>
          <w:sz w:val="19"/>
          <w:szCs w:val="19"/>
        </w:rPr>
        <w:t>mikro</w:t>
      </w:r>
      <w:proofErr w:type="spellEnd"/>
      <w:r w:rsidRPr="00EC28E6">
        <w:rPr>
          <w:rFonts w:ascii="Tahoma" w:hAnsi="Tahoma" w:cs="Tahoma"/>
          <w:i/>
          <w:iCs/>
          <w:sz w:val="19"/>
          <w:szCs w:val="19"/>
        </w:rPr>
        <w:t>, malih in srednjih podjetij (2003/361/ES).</w:t>
      </w:r>
      <w:r>
        <w:rPr>
          <w:rFonts w:ascii="Tahoma" w:hAnsi="Tahoma" w:cs="Tahoma"/>
          <w:i/>
          <w:iCs/>
          <w:sz w:val="19"/>
          <w:szCs w:val="19"/>
        </w:rPr>
        <w:t xml:space="preserve"> </w:t>
      </w:r>
    </w:p>
    <w:p w14:paraId="5060AA7F" w14:textId="77777777" w:rsidR="00E71592" w:rsidRDefault="00E71592"/>
    <w:sectPr w:rsidR="00E71592" w:rsidSect="00570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57F3" w14:textId="77777777" w:rsidR="00B165F8" w:rsidRDefault="00B165F8" w:rsidP="00B165F8">
      <w:pPr>
        <w:spacing w:line="240" w:lineRule="auto"/>
      </w:pPr>
      <w:r>
        <w:separator/>
      </w:r>
    </w:p>
  </w:endnote>
  <w:endnote w:type="continuationSeparator" w:id="0">
    <w:p w14:paraId="2A779508" w14:textId="77777777" w:rsidR="00B165F8" w:rsidRDefault="00B165F8" w:rsidP="00B16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B39B" w14:textId="77777777" w:rsidR="00B165F8" w:rsidRDefault="00B165F8" w:rsidP="00B165F8">
      <w:pPr>
        <w:spacing w:line="240" w:lineRule="auto"/>
      </w:pPr>
      <w:r>
        <w:separator/>
      </w:r>
    </w:p>
  </w:footnote>
  <w:footnote w:type="continuationSeparator" w:id="0">
    <w:p w14:paraId="106231F5" w14:textId="77777777" w:rsidR="00B165F8" w:rsidRDefault="00B165F8" w:rsidP="00B165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F8"/>
    <w:rsid w:val="003B4CB1"/>
    <w:rsid w:val="00485BD6"/>
    <w:rsid w:val="00570CA7"/>
    <w:rsid w:val="00AB3286"/>
    <w:rsid w:val="00B018AA"/>
    <w:rsid w:val="00B165F8"/>
    <w:rsid w:val="00B44706"/>
    <w:rsid w:val="00B502C8"/>
    <w:rsid w:val="00E71592"/>
    <w:rsid w:val="00F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C938"/>
  <w15:chartTrackingRefBased/>
  <w15:docId w15:val="{FD7E16AC-E43A-483C-AECB-FF65A78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F8"/>
    <w:pPr>
      <w:spacing w:after="0" w:line="288" w:lineRule="auto"/>
    </w:pPr>
    <w:rPr>
      <w:rFonts w:ascii="Myriad Pro" w:hAnsi="Myriad Pro"/>
      <w:sz w:val="2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5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5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5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5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5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5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5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5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5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6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5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6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5F8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6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5F8"/>
    <w:pPr>
      <w:spacing w:after="160" w:line="259" w:lineRule="auto"/>
      <w:ind w:left="720"/>
      <w:contextualSpacing/>
    </w:pPr>
    <w:rPr>
      <w:rFonts w:asciiTheme="minorHAnsi" w:hAnsiTheme="minorHAnsi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6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5F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5F8"/>
    <w:pPr>
      <w:spacing w:line="240" w:lineRule="auto"/>
    </w:pPr>
    <w:rPr>
      <w:rFonts w:asciiTheme="minorHAnsi" w:hAnsiTheme="minorHAns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5F8"/>
    <w:rPr>
      <w:sz w:val="20"/>
      <w:szCs w:val="20"/>
      <w:lang w:val="sl-SI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16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980</Characters>
  <Application>Microsoft Office Word</Application>
  <DocSecurity>0</DocSecurity>
  <Lines>8</Lines>
  <Paragraphs>2</Paragraphs>
  <ScaleCrop>false</ScaleCrop>
  <Company>SID banka d.d.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Potisek</dc:creator>
  <cp:keywords/>
  <dc:description/>
  <cp:lastModifiedBy>Klemen Potisek</cp:lastModifiedBy>
  <cp:revision>1</cp:revision>
  <dcterms:created xsi:type="dcterms:W3CDTF">2025-12-24T08:55:00Z</dcterms:created>
  <dcterms:modified xsi:type="dcterms:W3CDTF">2025-12-24T08:59:00Z</dcterms:modified>
</cp:coreProperties>
</file>