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279C" w14:textId="77777777" w:rsidR="005D46C2" w:rsidRPr="006370DA" w:rsidRDefault="005D46C2" w:rsidP="005D46C2">
      <w:pPr>
        <w:spacing w:after="0" w:line="240" w:lineRule="auto"/>
        <w:jc w:val="center"/>
        <w:rPr>
          <w:rFonts w:ascii="Tahoma" w:eastAsia="Times New Roman" w:hAnsi="Tahoma" w:cs="Tahoma"/>
          <w:b/>
          <w:sz w:val="16"/>
          <w:szCs w:val="16"/>
          <w:lang w:eastAsia="sl-SI"/>
        </w:rPr>
      </w:pPr>
      <w:r w:rsidRPr="006370DA">
        <w:rPr>
          <w:rFonts w:ascii="Tahoma" w:eastAsia="Times New Roman" w:hAnsi="Tahoma" w:cs="Tahoma"/>
          <w:b/>
          <w:sz w:val="16"/>
          <w:szCs w:val="16"/>
          <w:lang w:eastAsia="sl-SI"/>
        </w:rPr>
        <w:t>PRILOGA A K POSEBNIM POGOJEM</w:t>
      </w:r>
    </w:p>
    <w:p w14:paraId="490B5DF1" w14:textId="77777777" w:rsidR="005D46C2" w:rsidRPr="006370DA" w:rsidRDefault="005D46C2" w:rsidP="005D46C2">
      <w:pPr>
        <w:spacing w:after="0" w:line="240" w:lineRule="auto"/>
        <w:jc w:val="center"/>
        <w:rPr>
          <w:rFonts w:ascii="Tahoma" w:eastAsia="Times New Roman" w:hAnsi="Tahoma" w:cs="Tahoma"/>
          <w:b/>
          <w:spacing w:val="24"/>
          <w:sz w:val="16"/>
          <w:szCs w:val="16"/>
          <w:lang w:eastAsia="sl-SI"/>
        </w:rPr>
      </w:pPr>
    </w:p>
    <w:p w14:paraId="541FD153" w14:textId="77777777" w:rsidR="005D46C2" w:rsidRPr="006370DA" w:rsidRDefault="005D46C2" w:rsidP="005D46C2">
      <w:pPr>
        <w:spacing w:after="0" w:line="240" w:lineRule="auto"/>
        <w:jc w:val="center"/>
        <w:rPr>
          <w:rFonts w:ascii="Tahoma" w:eastAsia="Times New Roman" w:hAnsi="Tahoma" w:cs="Tahoma"/>
          <w:b/>
          <w:sz w:val="16"/>
          <w:szCs w:val="16"/>
          <w:lang w:eastAsia="sl-SI"/>
        </w:rPr>
      </w:pPr>
      <w:r w:rsidRPr="006370DA">
        <w:rPr>
          <w:rFonts w:ascii="Tahoma" w:eastAsia="Times New Roman" w:hAnsi="Tahoma" w:cs="Tahoma"/>
          <w:b/>
          <w:sz w:val="16"/>
          <w:szCs w:val="16"/>
          <w:lang w:eastAsia="sl-SI"/>
        </w:rPr>
        <w:t>IZKLJUČENE DEJAVNOSTI</w:t>
      </w:r>
    </w:p>
    <w:p w14:paraId="63AE30C5" w14:textId="77777777" w:rsidR="005D46C2" w:rsidRPr="006370DA" w:rsidRDefault="005D46C2" w:rsidP="005D46C2">
      <w:pPr>
        <w:spacing w:after="0" w:line="240" w:lineRule="auto"/>
        <w:jc w:val="center"/>
        <w:rPr>
          <w:rFonts w:ascii="Tahoma" w:eastAsia="Times New Roman" w:hAnsi="Tahoma" w:cs="Tahoma"/>
          <w:b/>
          <w:sz w:val="16"/>
          <w:szCs w:val="16"/>
          <w:lang w:eastAsia="sl-SI"/>
        </w:rPr>
      </w:pPr>
    </w:p>
    <w:p w14:paraId="2C91EAAE" w14:textId="77777777" w:rsidR="005D46C2" w:rsidRPr="006370DA" w:rsidRDefault="005D46C2" w:rsidP="005D46C2">
      <w:pPr>
        <w:autoSpaceDE w:val="0"/>
        <w:autoSpaceDN w:val="0"/>
        <w:adjustRightInd w:val="0"/>
        <w:spacing w:after="0" w:line="240" w:lineRule="auto"/>
        <w:ind w:left="360"/>
        <w:contextualSpacing/>
        <w:jc w:val="both"/>
        <w:rPr>
          <w:rFonts w:ascii="Tahoma" w:eastAsia="Times New Roman" w:hAnsi="Tahoma" w:cs="Tahoma"/>
          <w:sz w:val="16"/>
          <w:szCs w:val="16"/>
        </w:rPr>
      </w:pPr>
    </w:p>
    <w:p w14:paraId="74E4EB60" w14:textId="77777777" w:rsidR="005D46C2" w:rsidRPr="006370DA" w:rsidRDefault="005D46C2" w:rsidP="005D46C2">
      <w:pPr>
        <w:pStyle w:val="ListParagraph"/>
        <w:numPr>
          <w:ilvl w:val="0"/>
          <w:numId w:val="2"/>
        </w:numPr>
        <w:autoSpaceDE w:val="0"/>
        <w:autoSpaceDN w:val="0"/>
        <w:adjustRightInd w:val="0"/>
        <w:spacing w:after="0" w:line="240" w:lineRule="auto"/>
        <w:jc w:val="both"/>
        <w:rPr>
          <w:rFonts w:ascii="Tahoma" w:hAnsi="Tahoma" w:cs="Tahoma"/>
          <w:sz w:val="16"/>
          <w:szCs w:val="16"/>
        </w:rPr>
      </w:pPr>
      <w:r w:rsidRPr="006370DA">
        <w:rPr>
          <w:rFonts w:ascii="Tahoma" w:hAnsi="Tahoma" w:cs="Tahoma"/>
          <w:sz w:val="16"/>
          <w:szCs w:val="16"/>
        </w:rPr>
        <w:t xml:space="preserve">Končni prejemnik ne sme delovati in jamstva ne sme uporabiti za sledeče </w:t>
      </w:r>
      <w:r w:rsidRPr="006370DA">
        <w:rPr>
          <w:rFonts w:ascii="Tahoma" w:hAnsi="Tahoma" w:cs="Tahoma"/>
          <w:b/>
          <w:bCs/>
          <w:sz w:val="16"/>
          <w:szCs w:val="16"/>
          <w:u w:val="single"/>
        </w:rPr>
        <w:t>EIF izključene dejavnosti</w:t>
      </w:r>
      <w:r w:rsidRPr="006370DA">
        <w:rPr>
          <w:rFonts w:ascii="Tahoma" w:hAnsi="Tahoma" w:cs="Tahoma"/>
          <w:b/>
          <w:bCs/>
          <w:sz w:val="16"/>
          <w:szCs w:val="16"/>
        </w:rPr>
        <w:t>:</w:t>
      </w:r>
    </w:p>
    <w:p w14:paraId="0D26BDBC" w14:textId="77777777" w:rsidR="005D46C2" w:rsidRPr="006370DA" w:rsidRDefault="005D46C2" w:rsidP="005D46C2">
      <w:pPr>
        <w:pStyle w:val="ListParagraph"/>
        <w:autoSpaceDE w:val="0"/>
        <w:autoSpaceDN w:val="0"/>
        <w:adjustRightInd w:val="0"/>
        <w:jc w:val="both"/>
        <w:rPr>
          <w:rFonts w:ascii="Tahoma" w:hAnsi="Tahoma" w:cs="Tahoma"/>
          <w:sz w:val="16"/>
          <w:szCs w:val="16"/>
        </w:rPr>
      </w:pPr>
    </w:p>
    <w:p w14:paraId="22499284" w14:textId="77777777" w:rsidR="005D46C2" w:rsidRPr="006370DA" w:rsidRDefault="005D46C2" w:rsidP="005D46C2">
      <w:pPr>
        <w:pStyle w:val="ListParagraph"/>
        <w:numPr>
          <w:ilvl w:val="1"/>
          <w:numId w:val="1"/>
        </w:numPr>
        <w:spacing w:after="0" w:line="240" w:lineRule="auto"/>
        <w:rPr>
          <w:rFonts w:ascii="Tahoma" w:hAnsi="Tahoma" w:cs="Tahoma"/>
          <w:sz w:val="16"/>
          <w:szCs w:val="16"/>
          <w:lang w:eastAsia="sl-SI"/>
        </w:rPr>
      </w:pPr>
      <w:r w:rsidRPr="006370DA">
        <w:rPr>
          <w:rFonts w:ascii="Tahoma" w:hAnsi="Tahoma" w:cs="Tahoma"/>
          <w:b/>
          <w:bCs/>
          <w:sz w:val="16"/>
          <w:szCs w:val="16"/>
          <w:lang w:eastAsia="sl-SI"/>
        </w:rPr>
        <w:t>Zaporne ustanove in centri za pridržanje kakršnekoli oblike</w:t>
      </w:r>
      <w:r w:rsidRPr="006370DA">
        <w:rPr>
          <w:rFonts w:ascii="Tahoma" w:hAnsi="Tahoma" w:cs="Tahoma"/>
          <w:sz w:val="16"/>
          <w:szCs w:val="16"/>
          <w:lang w:eastAsia="sl-SI"/>
        </w:rPr>
        <w:t xml:space="preserve"> (vključno s prevzgojnimi zavodi ali policijskimi postajami z zmogljivostmi za pridržanje). </w:t>
      </w:r>
    </w:p>
    <w:p w14:paraId="7B8694C9" w14:textId="77777777" w:rsidR="005D46C2" w:rsidRPr="006370DA" w:rsidRDefault="005D46C2" w:rsidP="005D46C2">
      <w:pPr>
        <w:pStyle w:val="ListParagraph"/>
        <w:numPr>
          <w:ilvl w:val="1"/>
          <w:numId w:val="1"/>
        </w:numPr>
        <w:spacing w:after="0" w:line="240" w:lineRule="auto"/>
        <w:rPr>
          <w:rFonts w:ascii="Tahoma" w:hAnsi="Tahoma" w:cs="Tahoma"/>
          <w:sz w:val="16"/>
          <w:szCs w:val="16"/>
          <w:lang w:eastAsia="sl-SI"/>
        </w:rPr>
      </w:pPr>
      <w:r w:rsidRPr="006370DA">
        <w:rPr>
          <w:rFonts w:ascii="Tahoma" w:hAnsi="Tahoma" w:cs="Tahoma"/>
          <w:b/>
          <w:bCs/>
          <w:sz w:val="16"/>
          <w:szCs w:val="16"/>
          <w:lang w:eastAsia="sl-SI"/>
        </w:rPr>
        <w:t>Vsaka dejavnost, ki vključuje znatno degradacijo, preoblikovanje ali uničenje</w:t>
      </w:r>
      <w:r w:rsidRPr="006370DA">
        <w:rPr>
          <w:rStyle w:val="FootnoteReference"/>
          <w:rFonts w:ascii="Tahoma" w:hAnsi="Tahoma" w:cs="Tahoma"/>
          <w:b/>
          <w:bCs/>
          <w:sz w:val="16"/>
          <w:szCs w:val="16"/>
          <w:lang w:eastAsia="sl-SI"/>
        </w:rPr>
        <w:footnoteReference w:id="1"/>
      </w:r>
      <w:r w:rsidRPr="006370DA">
        <w:rPr>
          <w:rFonts w:ascii="Tahoma" w:hAnsi="Tahoma" w:cs="Tahoma"/>
          <w:b/>
          <w:bCs/>
          <w:sz w:val="16"/>
          <w:szCs w:val="16"/>
          <w:lang w:eastAsia="sl-SI"/>
        </w:rPr>
        <w:t xml:space="preserve"> ključnih habitatov</w:t>
      </w:r>
      <w:r w:rsidRPr="006370DA">
        <w:rPr>
          <w:rStyle w:val="FootnoteReference"/>
          <w:rFonts w:ascii="Tahoma" w:hAnsi="Tahoma" w:cs="Tahoma"/>
          <w:b/>
          <w:bCs/>
          <w:sz w:val="16"/>
          <w:szCs w:val="16"/>
          <w:lang w:eastAsia="sl-SI"/>
        </w:rPr>
        <w:footnoteReference w:id="2"/>
      </w:r>
      <w:r w:rsidRPr="006370DA">
        <w:rPr>
          <w:rFonts w:ascii="Tahoma" w:hAnsi="Tahoma" w:cs="Tahoma"/>
          <w:sz w:val="16"/>
          <w:szCs w:val="16"/>
          <w:lang w:eastAsia="sl-SI"/>
        </w:rPr>
        <w:t xml:space="preserve">. </w:t>
      </w:r>
    </w:p>
    <w:p w14:paraId="7506E41E" w14:textId="77777777" w:rsidR="005D46C2" w:rsidRPr="006370DA" w:rsidRDefault="005D46C2" w:rsidP="005D46C2">
      <w:pPr>
        <w:pStyle w:val="ListParagraph"/>
        <w:numPr>
          <w:ilvl w:val="1"/>
          <w:numId w:val="1"/>
        </w:numPr>
        <w:spacing w:after="0" w:line="240" w:lineRule="auto"/>
        <w:rPr>
          <w:rFonts w:ascii="Tahoma" w:hAnsi="Tahoma" w:cs="Tahoma"/>
          <w:sz w:val="16"/>
          <w:szCs w:val="16"/>
          <w:lang w:eastAsia="sl-SI"/>
        </w:rPr>
      </w:pPr>
      <w:r w:rsidRPr="006370DA">
        <w:rPr>
          <w:rFonts w:ascii="Tahoma" w:hAnsi="Tahoma" w:cs="Tahoma"/>
          <w:b/>
          <w:bCs/>
          <w:sz w:val="16"/>
          <w:szCs w:val="16"/>
          <w:lang w:eastAsia="sl-SI"/>
        </w:rPr>
        <w:t>Pretvorba naravnih gozdov v plantaže</w:t>
      </w:r>
      <w:r w:rsidRPr="006370DA">
        <w:rPr>
          <w:rFonts w:ascii="Tahoma" w:hAnsi="Tahoma" w:cs="Tahoma"/>
          <w:sz w:val="16"/>
          <w:szCs w:val="16"/>
          <w:lang w:eastAsia="sl-SI"/>
        </w:rPr>
        <w:t>, kar vključuje namakane gozdove</w:t>
      </w:r>
      <w:r w:rsidRPr="006370DA">
        <w:rPr>
          <w:rStyle w:val="FootnoteReference"/>
          <w:rFonts w:ascii="Tahoma" w:hAnsi="Tahoma" w:cs="Tahoma"/>
          <w:sz w:val="16"/>
          <w:szCs w:val="16"/>
          <w:lang w:eastAsia="sl-SI"/>
        </w:rPr>
        <w:footnoteReference w:id="3"/>
      </w:r>
      <w:r w:rsidRPr="006370DA">
        <w:rPr>
          <w:rFonts w:ascii="Tahoma" w:hAnsi="Tahoma" w:cs="Tahoma"/>
          <w:sz w:val="16"/>
          <w:szCs w:val="16"/>
          <w:lang w:eastAsia="sl-SI"/>
        </w:rPr>
        <w:t>, sečnjo, golosek ali degradacijo tropskih naravnih gozdov ali gozdov z visoko naravovarstveno vrednostjo</w:t>
      </w:r>
      <w:r w:rsidRPr="006370DA">
        <w:rPr>
          <w:rStyle w:val="FootnoteReference"/>
          <w:rFonts w:ascii="Tahoma" w:hAnsi="Tahoma" w:cs="Tahoma"/>
          <w:sz w:val="16"/>
          <w:szCs w:val="16"/>
          <w:lang w:eastAsia="sl-SI"/>
        </w:rPr>
        <w:footnoteReference w:id="4"/>
      </w:r>
      <w:r w:rsidRPr="006370DA">
        <w:rPr>
          <w:rFonts w:ascii="Tahoma" w:hAnsi="Tahoma" w:cs="Tahoma"/>
          <w:sz w:val="16"/>
          <w:szCs w:val="16"/>
          <w:lang w:eastAsia="sl-SI"/>
        </w:rPr>
        <w:t xml:space="preserve"> (vključno s podeljevanjem komercialnih koncesij) v vseh regijah, kot tudi nakup gozdarske opreme za te namene. </w:t>
      </w:r>
    </w:p>
    <w:p w14:paraId="246A51E7" w14:textId="77777777" w:rsidR="005D46C2" w:rsidRPr="006370DA" w:rsidRDefault="005D46C2" w:rsidP="005D46C2">
      <w:pPr>
        <w:pStyle w:val="ListParagraph"/>
        <w:numPr>
          <w:ilvl w:val="1"/>
          <w:numId w:val="1"/>
        </w:numPr>
        <w:spacing w:after="0" w:line="240" w:lineRule="auto"/>
        <w:rPr>
          <w:rFonts w:ascii="Tahoma" w:hAnsi="Tahoma" w:cs="Tahoma"/>
          <w:sz w:val="16"/>
          <w:szCs w:val="16"/>
          <w:lang w:eastAsia="sl-SI"/>
        </w:rPr>
      </w:pPr>
      <w:r w:rsidRPr="006370DA">
        <w:rPr>
          <w:rFonts w:ascii="Tahoma" w:hAnsi="Tahoma" w:cs="Tahoma"/>
          <w:b/>
          <w:bCs/>
          <w:sz w:val="16"/>
          <w:szCs w:val="16"/>
          <w:lang w:eastAsia="sl-SI"/>
        </w:rPr>
        <w:t>Pridobivanje mineralnih surovin iz globokomorskega okolja</w:t>
      </w:r>
      <w:r w:rsidRPr="006370DA">
        <w:rPr>
          <w:rStyle w:val="FootnoteReference"/>
          <w:rFonts w:ascii="Tahoma" w:hAnsi="Tahoma" w:cs="Tahoma"/>
          <w:b/>
          <w:bCs/>
          <w:sz w:val="16"/>
          <w:szCs w:val="16"/>
          <w:lang w:eastAsia="sl-SI"/>
        </w:rPr>
        <w:footnoteReference w:id="5"/>
      </w:r>
      <w:r w:rsidRPr="006370DA">
        <w:rPr>
          <w:rFonts w:ascii="Tahoma" w:hAnsi="Tahoma" w:cs="Tahoma"/>
          <w:sz w:val="16"/>
          <w:szCs w:val="16"/>
          <w:lang w:eastAsia="sl-SI"/>
        </w:rPr>
        <w:t xml:space="preserve">. </w:t>
      </w:r>
    </w:p>
    <w:p w14:paraId="1DD4E044" w14:textId="77777777" w:rsidR="005D46C2" w:rsidRPr="006370DA" w:rsidRDefault="005D46C2" w:rsidP="005D46C2">
      <w:pPr>
        <w:pStyle w:val="ListParagraph"/>
        <w:numPr>
          <w:ilvl w:val="1"/>
          <w:numId w:val="1"/>
        </w:numPr>
        <w:spacing w:after="0" w:line="240" w:lineRule="auto"/>
        <w:rPr>
          <w:rFonts w:ascii="Tahoma" w:hAnsi="Tahoma" w:cs="Tahoma"/>
          <w:sz w:val="16"/>
          <w:szCs w:val="16"/>
          <w:lang w:eastAsia="sl-SI"/>
        </w:rPr>
      </w:pPr>
      <w:r w:rsidRPr="006370DA">
        <w:rPr>
          <w:rFonts w:ascii="Tahoma" w:hAnsi="Tahoma" w:cs="Tahoma"/>
          <w:b/>
          <w:bCs/>
          <w:sz w:val="16"/>
          <w:szCs w:val="16"/>
          <w:lang w:eastAsia="sl-SI"/>
        </w:rPr>
        <w:t>Pridobivanje ali rudarjenje konfliktnih mineralov in kovin</w:t>
      </w:r>
      <w:r w:rsidRPr="006370DA">
        <w:rPr>
          <w:rStyle w:val="FootnoteReference"/>
          <w:rFonts w:ascii="Tahoma" w:hAnsi="Tahoma" w:cs="Tahoma"/>
          <w:b/>
          <w:bCs/>
          <w:sz w:val="16"/>
          <w:szCs w:val="16"/>
          <w:lang w:eastAsia="sl-SI"/>
        </w:rPr>
        <w:footnoteReference w:id="6"/>
      </w:r>
      <w:r w:rsidRPr="006370DA">
        <w:rPr>
          <w:rFonts w:ascii="Tahoma" w:hAnsi="Tahoma" w:cs="Tahoma"/>
          <w:sz w:val="16"/>
          <w:szCs w:val="16"/>
          <w:lang w:eastAsia="sl-SI"/>
        </w:rPr>
        <w:t xml:space="preserve">. </w:t>
      </w:r>
    </w:p>
    <w:p w14:paraId="0AAC3FE9" w14:textId="77777777" w:rsidR="005D46C2" w:rsidRPr="006370DA" w:rsidRDefault="005D46C2" w:rsidP="005D46C2">
      <w:pPr>
        <w:pStyle w:val="ListParagraph"/>
        <w:numPr>
          <w:ilvl w:val="1"/>
          <w:numId w:val="1"/>
        </w:numPr>
        <w:spacing w:after="0" w:line="240" w:lineRule="auto"/>
        <w:rPr>
          <w:rFonts w:ascii="Tahoma" w:hAnsi="Tahoma" w:cs="Tahoma"/>
          <w:sz w:val="16"/>
          <w:szCs w:val="16"/>
        </w:rPr>
      </w:pPr>
      <w:r w:rsidRPr="006370DA">
        <w:rPr>
          <w:rFonts w:ascii="Tahoma" w:hAnsi="Tahoma" w:cs="Tahoma"/>
          <w:b/>
          <w:bCs/>
          <w:sz w:val="16"/>
          <w:szCs w:val="16"/>
          <w:lang w:eastAsia="sl-SI"/>
        </w:rPr>
        <w:t>Kloniranje živali ali ljudi za razmnoževalne namene</w:t>
      </w:r>
      <w:r w:rsidRPr="006370DA">
        <w:rPr>
          <w:rFonts w:ascii="Tahoma" w:hAnsi="Tahoma" w:cs="Tahoma"/>
          <w:sz w:val="16"/>
          <w:szCs w:val="16"/>
          <w:lang w:eastAsia="sl-SI"/>
        </w:rPr>
        <w:t>.</w:t>
      </w:r>
    </w:p>
    <w:p w14:paraId="0D1C91C2" w14:textId="77777777" w:rsidR="005D46C2" w:rsidRPr="006370DA" w:rsidRDefault="005D46C2" w:rsidP="005D46C2">
      <w:pPr>
        <w:pStyle w:val="ListParagraph"/>
        <w:numPr>
          <w:ilvl w:val="1"/>
          <w:numId w:val="1"/>
        </w:numPr>
        <w:spacing w:after="0" w:line="240" w:lineRule="auto"/>
        <w:rPr>
          <w:rFonts w:ascii="Tahoma" w:hAnsi="Tahoma" w:cs="Tahoma"/>
          <w:sz w:val="16"/>
          <w:szCs w:val="16"/>
        </w:rPr>
      </w:pPr>
      <w:r w:rsidRPr="006370DA">
        <w:rPr>
          <w:rFonts w:ascii="Tahoma" w:hAnsi="Tahoma" w:cs="Tahoma"/>
          <w:b/>
          <w:bCs/>
          <w:sz w:val="16"/>
          <w:szCs w:val="16"/>
          <w:lang w:eastAsia="sl-SI"/>
        </w:rPr>
        <w:t>Dejavnosti, ki vključujejo žive živali za znanstvene in eksperimentalne namene</w:t>
      </w:r>
      <w:r w:rsidRPr="006370DA">
        <w:rPr>
          <w:rFonts w:ascii="Tahoma" w:hAnsi="Tahoma" w:cs="Tahoma"/>
          <w:sz w:val="16"/>
          <w:szCs w:val="16"/>
          <w:lang w:eastAsia="sl-SI"/>
        </w:rPr>
        <w:t xml:space="preserve">, vključno z genskim urejanjem in vzrejo teh živali. </w:t>
      </w:r>
      <w:r w:rsidRPr="006370DA">
        <w:rPr>
          <w:rStyle w:val="FootnoteReference"/>
          <w:rFonts w:ascii="Tahoma" w:hAnsi="Tahoma" w:cs="Tahoma"/>
          <w:sz w:val="16"/>
          <w:szCs w:val="16"/>
          <w:lang w:eastAsia="sl-SI"/>
        </w:rPr>
        <w:footnoteReference w:id="7"/>
      </w:r>
    </w:p>
    <w:p w14:paraId="1C10773A" w14:textId="77777777" w:rsidR="005D46C2" w:rsidRPr="006370DA" w:rsidRDefault="005D46C2" w:rsidP="005D46C2">
      <w:pPr>
        <w:pStyle w:val="ListParagraph"/>
        <w:numPr>
          <w:ilvl w:val="1"/>
          <w:numId w:val="1"/>
        </w:numPr>
        <w:spacing w:after="0" w:line="240" w:lineRule="auto"/>
        <w:rPr>
          <w:rFonts w:ascii="Tahoma" w:hAnsi="Tahoma" w:cs="Tahoma"/>
          <w:sz w:val="16"/>
          <w:szCs w:val="16"/>
        </w:rPr>
      </w:pPr>
      <w:r w:rsidRPr="006370DA">
        <w:rPr>
          <w:rFonts w:ascii="Tahoma" w:hAnsi="Tahoma" w:cs="Tahoma"/>
          <w:b/>
          <w:bCs/>
          <w:sz w:val="16"/>
          <w:szCs w:val="16"/>
          <w:lang w:eastAsia="sl-SI"/>
        </w:rPr>
        <w:t>Spolna industrija ter z njo povezana infrastruktura, storitve in mediji</w:t>
      </w:r>
      <w:r w:rsidRPr="006370DA">
        <w:rPr>
          <w:rFonts w:ascii="Tahoma" w:hAnsi="Tahoma" w:cs="Tahoma"/>
          <w:sz w:val="16"/>
          <w:szCs w:val="16"/>
          <w:lang w:eastAsia="sl-SI"/>
        </w:rPr>
        <w:t xml:space="preserve">. </w:t>
      </w:r>
    </w:p>
    <w:p w14:paraId="3EBAA4F1" w14:textId="77777777" w:rsidR="005D46C2" w:rsidRPr="006370DA" w:rsidRDefault="005D46C2" w:rsidP="005D46C2">
      <w:pPr>
        <w:pStyle w:val="ListParagraph"/>
        <w:numPr>
          <w:ilvl w:val="1"/>
          <w:numId w:val="1"/>
        </w:numPr>
        <w:spacing w:after="0" w:line="240" w:lineRule="auto"/>
        <w:rPr>
          <w:rFonts w:ascii="Tahoma" w:hAnsi="Tahoma" w:cs="Tahoma"/>
          <w:sz w:val="16"/>
          <w:szCs w:val="16"/>
        </w:rPr>
      </w:pPr>
      <w:r w:rsidRPr="006370DA">
        <w:rPr>
          <w:rFonts w:ascii="Tahoma" w:hAnsi="Tahoma" w:cs="Tahoma"/>
          <w:b/>
          <w:bCs/>
          <w:sz w:val="16"/>
          <w:szCs w:val="16"/>
          <w:lang w:eastAsia="sl-SI"/>
        </w:rPr>
        <w:t>Projekti s političnim ali verskim namenom</w:t>
      </w:r>
      <w:r w:rsidRPr="006370DA">
        <w:rPr>
          <w:rFonts w:ascii="Tahoma" w:hAnsi="Tahoma" w:cs="Tahoma"/>
          <w:sz w:val="16"/>
          <w:szCs w:val="16"/>
          <w:lang w:eastAsia="sl-SI"/>
        </w:rPr>
        <w:t xml:space="preserve">. </w:t>
      </w:r>
    </w:p>
    <w:p w14:paraId="19568639" w14:textId="77777777" w:rsidR="005D46C2" w:rsidRPr="006370DA" w:rsidRDefault="005D46C2" w:rsidP="005D46C2">
      <w:pPr>
        <w:pStyle w:val="ListParagraph"/>
        <w:numPr>
          <w:ilvl w:val="1"/>
          <w:numId w:val="1"/>
        </w:numPr>
        <w:spacing w:after="0" w:line="240" w:lineRule="auto"/>
        <w:rPr>
          <w:rFonts w:ascii="Tahoma" w:hAnsi="Tahoma" w:cs="Tahoma"/>
          <w:sz w:val="16"/>
          <w:szCs w:val="16"/>
        </w:rPr>
      </w:pPr>
      <w:r w:rsidRPr="006370DA">
        <w:rPr>
          <w:rFonts w:ascii="Tahoma" w:hAnsi="Tahoma" w:cs="Tahoma"/>
          <w:b/>
          <w:bCs/>
          <w:sz w:val="16"/>
          <w:szCs w:val="16"/>
          <w:lang w:eastAsia="sl-SI"/>
        </w:rPr>
        <w:t>Proizvodnja ali trgovanje z orožjem in strelivom</w:t>
      </w:r>
      <w:r w:rsidRPr="006370DA">
        <w:rPr>
          <w:rFonts w:ascii="Tahoma" w:hAnsi="Tahoma" w:cs="Tahoma"/>
          <w:sz w:val="16"/>
          <w:szCs w:val="16"/>
          <w:lang w:eastAsia="sl-SI"/>
        </w:rPr>
        <w:t xml:space="preserve">, vključno z eksplozivi in športnim orožjem. </w:t>
      </w:r>
    </w:p>
    <w:p w14:paraId="2767F5ED" w14:textId="77777777" w:rsidR="005D46C2" w:rsidRPr="006370DA" w:rsidRDefault="005D46C2" w:rsidP="005D46C2">
      <w:pPr>
        <w:pStyle w:val="ListParagraph"/>
        <w:numPr>
          <w:ilvl w:val="1"/>
          <w:numId w:val="1"/>
        </w:numPr>
        <w:spacing w:after="0" w:line="240" w:lineRule="auto"/>
        <w:rPr>
          <w:rFonts w:ascii="Tahoma" w:hAnsi="Tahoma" w:cs="Tahoma"/>
          <w:sz w:val="16"/>
          <w:szCs w:val="16"/>
        </w:rPr>
      </w:pPr>
      <w:r w:rsidRPr="006370DA">
        <w:rPr>
          <w:rFonts w:ascii="Tahoma" w:hAnsi="Tahoma" w:cs="Tahoma"/>
          <w:b/>
          <w:bCs/>
          <w:sz w:val="16"/>
          <w:szCs w:val="16"/>
          <w:lang w:eastAsia="sl-SI"/>
        </w:rPr>
        <w:t>Tobak</w:t>
      </w:r>
      <w:r w:rsidRPr="006370DA">
        <w:rPr>
          <w:rFonts w:ascii="Tahoma" w:hAnsi="Tahoma" w:cs="Tahoma"/>
          <w:sz w:val="16"/>
          <w:szCs w:val="16"/>
          <w:lang w:eastAsia="sl-SI"/>
        </w:rPr>
        <w:t>: Projekti, katerih namen je pridelava, proizvodnja, predelava ali distribucija tobaka.</w:t>
      </w:r>
      <w:r w:rsidRPr="006370DA">
        <w:rPr>
          <w:rStyle w:val="FootnoteReference"/>
          <w:rFonts w:ascii="Tahoma" w:hAnsi="Tahoma" w:cs="Tahoma"/>
          <w:sz w:val="16"/>
          <w:szCs w:val="16"/>
          <w:lang w:eastAsia="sl-SI"/>
        </w:rPr>
        <w:footnoteReference w:id="8"/>
      </w:r>
      <w:r w:rsidRPr="006370DA">
        <w:rPr>
          <w:rFonts w:ascii="Tahoma" w:hAnsi="Tahoma" w:cs="Tahoma"/>
          <w:sz w:val="16"/>
          <w:szCs w:val="16"/>
          <w:lang w:eastAsia="sl-SI"/>
        </w:rPr>
        <w:t xml:space="preserve"> </w:t>
      </w:r>
    </w:p>
    <w:p w14:paraId="5A5247EF" w14:textId="77777777" w:rsidR="005D46C2" w:rsidRPr="006370DA" w:rsidRDefault="005D46C2" w:rsidP="005D46C2">
      <w:pPr>
        <w:pStyle w:val="ListParagraph"/>
        <w:numPr>
          <w:ilvl w:val="1"/>
          <w:numId w:val="1"/>
        </w:numPr>
        <w:spacing w:after="0" w:line="240" w:lineRule="auto"/>
        <w:rPr>
          <w:rFonts w:ascii="Tahoma" w:hAnsi="Tahoma" w:cs="Tahoma"/>
          <w:sz w:val="16"/>
          <w:szCs w:val="16"/>
        </w:rPr>
      </w:pPr>
      <w:r w:rsidRPr="006370DA">
        <w:rPr>
          <w:rFonts w:ascii="Tahoma" w:hAnsi="Tahoma" w:cs="Tahoma"/>
          <w:b/>
          <w:bCs/>
          <w:sz w:val="16"/>
          <w:szCs w:val="16"/>
          <w:lang w:eastAsia="sl-SI"/>
        </w:rPr>
        <w:t>Igralništvo</w:t>
      </w:r>
      <w:r w:rsidRPr="006370DA">
        <w:rPr>
          <w:rFonts w:ascii="Tahoma" w:hAnsi="Tahoma" w:cs="Tahoma"/>
          <w:sz w:val="16"/>
          <w:szCs w:val="16"/>
          <w:lang w:eastAsia="sl-SI"/>
        </w:rPr>
        <w:t>: Igralniške dejavnosti in z njimi povezana oprema, vključno s hoteli, ki imajo lastne igralnice.</w:t>
      </w:r>
      <w:r w:rsidRPr="006370DA">
        <w:rPr>
          <w:rStyle w:val="FootnoteReference"/>
          <w:rFonts w:ascii="Tahoma" w:hAnsi="Tahoma" w:cs="Tahoma"/>
          <w:sz w:val="16"/>
          <w:szCs w:val="16"/>
          <w:lang w:eastAsia="sl-SI"/>
        </w:rPr>
        <w:footnoteReference w:id="9"/>
      </w:r>
    </w:p>
    <w:p w14:paraId="219E7691" w14:textId="77777777" w:rsidR="005D46C2" w:rsidRPr="006370DA" w:rsidRDefault="005D46C2" w:rsidP="005D46C2"/>
    <w:p w14:paraId="57374AE0" w14:textId="77777777" w:rsidR="005D46C2" w:rsidRPr="006370DA" w:rsidRDefault="005D46C2" w:rsidP="005D46C2">
      <w:pPr>
        <w:pStyle w:val="ListParagraph"/>
        <w:numPr>
          <w:ilvl w:val="0"/>
          <w:numId w:val="2"/>
        </w:numPr>
        <w:autoSpaceDE w:val="0"/>
        <w:autoSpaceDN w:val="0"/>
        <w:adjustRightInd w:val="0"/>
        <w:spacing w:after="0" w:line="240" w:lineRule="auto"/>
        <w:jc w:val="both"/>
        <w:rPr>
          <w:rFonts w:ascii="Tahoma" w:hAnsi="Tahoma" w:cs="Tahoma"/>
          <w:sz w:val="16"/>
          <w:szCs w:val="16"/>
        </w:rPr>
      </w:pPr>
      <w:r w:rsidRPr="006370DA">
        <w:rPr>
          <w:rFonts w:ascii="Tahoma" w:hAnsi="Tahoma" w:cs="Tahoma"/>
          <w:sz w:val="16"/>
          <w:szCs w:val="16"/>
        </w:rPr>
        <w:t xml:space="preserve">Končni prejemnik ne sme delovati in jamstva ne sme uporabiti za sledeče </w:t>
      </w:r>
      <w:r w:rsidRPr="006370DA">
        <w:rPr>
          <w:rFonts w:ascii="Tahoma" w:hAnsi="Tahoma" w:cs="Tahoma"/>
          <w:b/>
          <w:bCs/>
          <w:sz w:val="16"/>
          <w:szCs w:val="16"/>
          <w:u w:val="single"/>
        </w:rPr>
        <w:t>EIF omejene dejavnosti</w:t>
      </w:r>
      <w:r w:rsidRPr="006370DA">
        <w:rPr>
          <w:rFonts w:ascii="Tahoma" w:hAnsi="Tahoma" w:cs="Tahoma"/>
          <w:sz w:val="16"/>
          <w:szCs w:val="16"/>
        </w:rPr>
        <w:t>:</w:t>
      </w:r>
    </w:p>
    <w:p w14:paraId="7F406809" w14:textId="77777777" w:rsidR="005D46C2" w:rsidRPr="006370DA" w:rsidRDefault="005D46C2" w:rsidP="005D46C2">
      <w:pPr>
        <w:pStyle w:val="ListParagraph"/>
        <w:autoSpaceDE w:val="0"/>
        <w:autoSpaceDN w:val="0"/>
        <w:adjustRightInd w:val="0"/>
        <w:jc w:val="both"/>
        <w:rPr>
          <w:rFonts w:ascii="Tahoma" w:hAnsi="Tahoma" w:cs="Tahoma"/>
          <w:sz w:val="16"/>
          <w:szCs w:val="16"/>
        </w:rPr>
      </w:pPr>
    </w:p>
    <w:p w14:paraId="64E41A5A" w14:textId="77777777" w:rsidR="005D46C2" w:rsidRPr="006370DA" w:rsidRDefault="005D46C2" w:rsidP="005D46C2">
      <w:pPr>
        <w:pStyle w:val="ListParagraph"/>
        <w:numPr>
          <w:ilvl w:val="0"/>
          <w:numId w:val="3"/>
        </w:numPr>
        <w:spacing w:after="0" w:line="240" w:lineRule="auto"/>
        <w:rPr>
          <w:rFonts w:ascii="Tahoma" w:hAnsi="Tahoma" w:cs="Tahoma"/>
          <w:sz w:val="16"/>
          <w:szCs w:val="16"/>
          <w:lang w:eastAsia="sl-SI"/>
        </w:rPr>
      </w:pPr>
      <w:r w:rsidRPr="006370DA">
        <w:rPr>
          <w:rFonts w:ascii="Tahoma" w:hAnsi="Tahoma" w:cs="Tahoma"/>
          <w:sz w:val="16"/>
          <w:szCs w:val="16"/>
          <w:lang w:eastAsia="sl-SI"/>
        </w:rPr>
        <w:t xml:space="preserve">Rudarjenje, predelava, prevoz in skladiščenje premoga. </w:t>
      </w:r>
    </w:p>
    <w:p w14:paraId="1DD3DCEB" w14:textId="77777777" w:rsidR="005D46C2" w:rsidRPr="006370DA" w:rsidRDefault="005D46C2" w:rsidP="005D46C2">
      <w:pPr>
        <w:pStyle w:val="ListParagraph"/>
        <w:numPr>
          <w:ilvl w:val="0"/>
          <w:numId w:val="3"/>
        </w:numPr>
        <w:spacing w:after="0" w:line="240" w:lineRule="auto"/>
        <w:rPr>
          <w:rFonts w:ascii="Tahoma" w:hAnsi="Tahoma" w:cs="Tahoma"/>
          <w:sz w:val="16"/>
          <w:szCs w:val="16"/>
          <w:lang w:eastAsia="sl-SI"/>
        </w:rPr>
      </w:pPr>
      <w:r w:rsidRPr="006370DA">
        <w:rPr>
          <w:rFonts w:ascii="Tahoma" w:hAnsi="Tahoma" w:cs="Tahoma"/>
          <w:sz w:val="16"/>
          <w:szCs w:val="16"/>
          <w:lang w:eastAsia="sl-SI"/>
        </w:rPr>
        <w:t xml:space="preserve">Raziskovanje, proizvodnja, rafiniranje, prevoz, distribucija in skladiščenje nafte. </w:t>
      </w:r>
    </w:p>
    <w:p w14:paraId="63CEDE43" w14:textId="77777777" w:rsidR="005D46C2" w:rsidRPr="006370DA" w:rsidRDefault="005D46C2" w:rsidP="005D46C2">
      <w:pPr>
        <w:pStyle w:val="ListParagraph"/>
        <w:numPr>
          <w:ilvl w:val="0"/>
          <w:numId w:val="3"/>
        </w:numPr>
        <w:spacing w:after="0" w:line="240" w:lineRule="auto"/>
        <w:rPr>
          <w:rFonts w:ascii="Tahoma" w:hAnsi="Tahoma" w:cs="Tahoma"/>
          <w:sz w:val="16"/>
          <w:szCs w:val="16"/>
          <w:lang w:eastAsia="sl-SI"/>
        </w:rPr>
      </w:pPr>
      <w:r w:rsidRPr="006370DA">
        <w:rPr>
          <w:rFonts w:ascii="Tahoma" w:hAnsi="Tahoma" w:cs="Tahoma"/>
          <w:sz w:val="16"/>
          <w:szCs w:val="16"/>
          <w:lang w:eastAsia="sl-SI"/>
        </w:rPr>
        <w:t xml:space="preserve">Raziskovanje, proizvodnja, utekočinjanje, uplinjanje, prevoz, distribucija in skladiščenje zemeljskega plina. </w:t>
      </w:r>
    </w:p>
    <w:p w14:paraId="1231A7B4" w14:textId="77777777" w:rsidR="005D46C2" w:rsidRPr="006370DA" w:rsidRDefault="005D46C2" w:rsidP="005D46C2">
      <w:pPr>
        <w:pStyle w:val="ListParagraph"/>
        <w:numPr>
          <w:ilvl w:val="0"/>
          <w:numId w:val="3"/>
        </w:numPr>
        <w:spacing w:after="0" w:line="240" w:lineRule="auto"/>
        <w:jc w:val="both"/>
        <w:rPr>
          <w:rFonts w:ascii="Tahoma" w:hAnsi="Tahoma" w:cs="Tahoma"/>
          <w:sz w:val="16"/>
          <w:szCs w:val="16"/>
          <w:lang w:eastAsia="sl-SI"/>
        </w:rPr>
      </w:pPr>
      <w:r w:rsidRPr="006370DA">
        <w:rPr>
          <w:rFonts w:ascii="Tahoma" w:hAnsi="Tahoma" w:cs="Tahoma"/>
          <w:sz w:val="16"/>
          <w:szCs w:val="16"/>
          <w:lang w:eastAsia="sl-SI"/>
        </w:rPr>
        <w:t>Proizvodnja električne energije, vključno s termoelektrarnami</w:t>
      </w:r>
      <w:r w:rsidRPr="006370DA">
        <w:rPr>
          <w:rStyle w:val="FootnoteReference"/>
          <w:rFonts w:ascii="Tahoma" w:hAnsi="Tahoma"/>
          <w:sz w:val="16"/>
          <w:szCs w:val="16"/>
          <w:lang w:eastAsia="sl-SI"/>
        </w:rPr>
        <w:footnoteReference w:id="10"/>
      </w:r>
      <w:r w:rsidRPr="006370DA">
        <w:rPr>
          <w:rFonts w:ascii="Tahoma" w:hAnsi="Tahoma" w:cs="Tahoma"/>
          <w:sz w:val="16"/>
          <w:szCs w:val="16"/>
          <w:lang w:eastAsia="sl-SI"/>
        </w:rPr>
        <w:t xml:space="preserve">, ki presegajo standard emisijske učinkovitosti (tj. 250 gramov CO₂ ekvivalenta na kWh električne energije), kar velja za elektrarne in </w:t>
      </w:r>
      <w:proofErr w:type="spellStart"/>
      <w:r w:rsidRPr="006370DA">
        <w:rPr>
          <w:rFonts w:ascii="Tahoma" w:hAnsi="Tahoma" w:cs="Tahoma"/>
          <w:sz w:val="16"/>
          <w:szCs w:val="16"/>
          <w:lang w:eastAsia="sl-SI"/>
        </w:rPr>
        <w:t>soproizvodne</w:t>
      </w:r>
      <w:proofErr w:type="spellEnd"/>
      <w:r w:rsidRPr="006370DA">
        <w:rPr>
          <w:rFonts w:ascii="Tahoma" w:hAnsi="Tahoma" w:cs="Tahoma"/>
          <w:sz w:val="16"/>
          <w:szCs w:val="16"/>
          <w:lang w:eastAsia="sl-SI"/>
        </w:rPr>
        <w:t xml:space="preserve"> enote na fosilna goriva. Geotermalne elektrarne z emisijami v življenjskem ciklu, višjimi od 100 g CO₂ </w:t>
      </w:r>
      <w:proofErr w:type="spellStart"/>
      <w:r w:rsidRPr="006370DA">
        <w:rPr>
          <w:rFonts w:ascii="Tahoma" w:hAnsi="Tahoma" w:cs="Tahoma"/>
          <w:sz w:val="16"/>
          <w:szCs w:val="16"/>
          <w:lang w:eastAsia="sl-SI"/>
        </w:rPr>
        <w:t>ekv</w:t>
      </w:r>
      <w:proofErr w:type="spellEnd"/>
      <w:r w:rsidRPr="006370DA">
        <w:rPr>
          <w:rFonts w:ascii="Tahoma" w:hAnsi="Tahoma" w:cs="Tahoma"/>
          <w:sz w:val="16"/>
          <w:szCs w:val="16"/>
          <w:lang w:eastAsia="sl-SI"/>
        </w:rPr>
        <w:t xml:space="preserve">./kWh. </w:t>
      </w:r>
    </w:p>
    <w:p w14:paraId="15FB656E" w14:textId="77777777" w:rsidR="005D46C2" w:rsidRPr="006370DA" w:rsidRDefault="005D46C2" w:rsidP="005D46C2">
      <w:pPr>
        <w:pStyle w:val="ListParagraph"/>
        <w:numPr>
          <w:ilvl w:val="0"/>
          <w:numId w:val="3"/>
        </w:numPr>
        <w:spacing w:after="0" w:line="240" w:lineRule="auto"/>
        <w:jc w:val="both"/>
        <w:rPr>
          <w:rFonts w:ascii="Tahoma" w:hAnsi="Tahoma" w:cs="Tahoma"/>
          <w:sz w:val="16"/>
          <w:szCs w:val="16"/>
          <w:lang w:eastAsia="sl-SI"/>
        </w:rPr>
      </w:pPr>
      <w:r w:rsidRPr="006370DA">
        <w:rPr>
          <w:rFonts w:ascii="Tahoma" w:hAnsi="Tahoma" w:cs="Tahoma"/>
          <w:sz w:val="16"/>
          <w:szCs w:val="16"/>
          <w:lang w:eastAsia="sl-SI"/>
        </w:rPr>
        <w:lastRenderedPageBreak/>
        <w:t>Projekti v rudarskem sektorju</w:t>
      </w:r>
      <w:r w:rsidRPr="006370DA">
        <w:rPr>
          <w:rStyle w:val="FootnoteReference"/>
          <w:rFonts w:ascii="Tahoma" w:hAnsi="Tahoma"/>
          <w:sz w:val="16"/>
          <w:szCs w:val="16"/>
          <w:lang w:eastAsia="sl-SI"/>
        </w:rPr>
        <w:footnoteReference w:id="11"/>
      </w:r>
      <w:r w:rsidRPr="006370DA">
        <w:rPr>
          <w:rFonts w:ascii="Tahoma" w:hAnsi="Tahoma" w:cs="Tahoma"/>
          <w:sz w:val="16"/>
          <w:szCs w:val="16"/>
          <w:lang w:eastAsia="sl-SI"/>
        </w:rPr>
        <w:t xml:space="preserve">. </w:t>
      </w:r>
    </w:p>
    <w:p w14:paraId="686EF9E9" w14:textId="77777777" w:rsidR="005D46C2" w:rsidRPr="006370DA" w:rsidRDefault="005D46C2" w:rsidP="005D46C2">
      <w:pPr>
        <w:pStyle w:val="ListParagraph"/>
        <w:numPr>
          <w:ilvl w:val="0"/>
          <w:numId w:val="3"/>
        </w:numPr>
        <w:spacing w:after="0" w:line="240" w:lineRule="auto"/>
        <w:jc w:val="both"/>
        <w:rPr>
          <w:rFonts w:ascii="Tahoma" w:hAnsi="Tahoma" w:cs="Tahoma"/>
          <w:sz w:val="16"/>
          <w:szCs w:val="16"/>
          <w:lang w:eastAsia="sl-SI"/>
        </w:rPr>
      </w:pPr>
      <w:r w:rsidRPr="006370DA">
        <w:rPr>
          <w:rFonts w:ascii="Tahoma" w:hAnsi="Tahoma" w:cs="Tahoma"/>
          <w:sz w:val="16"/>
          <w:szCs w:val="16"/>
          <w:lang w:eastAsia="sl-SI"/>
        </w:rPr>
        <w:t xml:space="preserve">Jedrska energija in proizvodnja v okviru jedrske industrije (npr. predelava jedrskega goriva, obogatitev urana, predelava obsevanega goriva). </w:t>
      </w:r>
    </w:p>
    <w:p w14:paraId="04764E64" w14:textId="77777777" w:rsidR="005D46C2" w:rsidRPr="006370DA" w:rsidRDefault="005D46C2" w:rsidP="005D46C2">
      <w:pPr>
        <w:pStyle w:val="ListParagraph"/>
        <w:numPr>
          <w:ilvl w:val="0"/>
          <w:numId w:val="3"/>
        </w:numPr>
        <w:spacing w:after="0" w:line="240" w:lineRule="auto"/>
        <w:jc w:val="both"/>
        <w:rPr>
          <w:rFonts w:ascii="Tahoma" w:hAnsi="Tahoma" w:cs="Tahoma"/>
          <w:sz w:val="16"/>
          <w:szCs w:val="16"/>
          <w:lang w:eastAsia="sl-SI"/>
        </w:rPr>
      </w:pPr>
      <w:r w:rsidRPr="006370DA">
        <w:rPr>
          <w:rFonts w:ascii="Tahoma" w:hAnsi="Tahoma" w:cs="Tahoma"/>
          <w:sz w:val="16"/>
          <w:szCs w:val="16"/>
          <w:lang w:eastAsia="sl-SI"/>
        </w:rPr>
        <w:t xml:space="preserve">Hidroenergija. </w:t>
      </w:r>
    </w:p>
    <w:p w14:paraId="49AA17A3" w14:textId="77777777" w:rsidR="005D46C2" w:rsidRPr="006370DA" w:rsidRDefault="005D46C2" w:rsidP="005D46C2">
      <w:pPr>
        <w:pStyle w:val="ListParagraph"/>
        <w:numPr>
          <w:ilvl w:val="0"/>
          <w:numId w:val="3"/>
        </w:numPr>
        <w:spacing w:after="0" w:line="240" w:lineRule="auto"/>
        <w:jc w:val="both"/>
        <w:rPr>
          <w:rFonts w:ascii="Tahoma" w:hAnsi="Tahoma" w:cs="Tahoma"/>
          <w:sz w:val="16"/>
          <w:szCs w:val="16"/>
          <w:lang w:eastAsia="sl-SI"/>
        </w:rPr>
      </w:pPr>
      <w:r w:rsidRPr="006370DA">
        <w:rPr>
          <w:rFonts w:ascii="Tahoma" w:hAnsi="Tahoma" w:cs="Tahoma"/>
          <w:sz w:val="16"/>
          <w:szCs w:val="16"/>
          <w:lang w:eastAsia="sl-SI"/>
        </w:rPr>
        <w:t xml:space="preserve">Sežiganje odpadkov; zbiranje, obdelava in odstranjevanje nevarnih odpadkov. </w:t>
      </w:r>
    </w:p>
    <w:p w14:paraId="1D59A2BB" w14:textId="77777777" w:rsidR="005D46C2" w:rsidRPr="006370DA" w:rsidRDefault="005D46C2" w:rsidP="005D46C2">
      <w:pPr>
        <w:pStyle w:val="ListParagraph"/>
        <w:numPr>
          <w:ilvl w:val="0"/>
          <w:numId w:val="3"/>
        </w:numPr>
        <w:spacing w:after="0" w:line="240" w:lineRule="auto"/>
        <w:jc w:val="both"/>
        <w:rPr>
          <w:rFonts w:ascii="Tahoma" w:hAnsi="Tahoma" w:cs="Tahoma"/>
          <w:sz w:val="16"/>
          <w:szCs w:val="16"/>
          <w:lang w:eastAsia="sl-SI"/>
        </w:rPr>
      </w:pPr>
      <w:r w:rsidRPr="006370DA">
        <w:rPr>
          <w:rFonts w:ascii="Tahoma" w:hAnsi="Tahoma" w:cs="Tahoma"/>
          <w:sz w:val="16"/>
          <w:szCs w:val="16"/>
          <w:lang w:eastAsia="sl-SI"/>
        </w:rPr>
        <w:t>Raziskave, razvoj, proizvodnja in/ali komercializacija opreme ali infrastrukture, namenjene vojaški ali policijski uporabi</w:t>
      </w:r>
      <w:r w:rsidRPr="006370DA">
        <w:rPr>
          <w:rStyle w:val="FootnoteReference"/>
          <w:rFonts w:ascii="Tahoma" w:hAnsi="Tahoma"/>
          <w:sz w:val="16"/>
          <w:szCs w:val="16"/>
          <w:lang w:eastAsia="sl-SI"/>
        </w:rPr>
        <w:footnoteReference w:id="12"/>
      </w:r>
      <w:r w:rsidRPr="006370DA">
        <w:rPr>
          <w:rFonts w:ascii="Tahoma" w:hAnsi="Tahoma" w:cs="Tahoma"/>
          <w:sz w:val="16"/>
          <w:szCs w:val="16"/>
          <w:lang w:eastAsia="sl-SI"/>
        </w:rPr>
        <w:t xml:space="preserve">. </w:t>
      </w:r>
    </w:p>
    <w:p w14:paraId="12C4A399" w14:textId="77777777" w:rsidR="005D46C2" w:rsidRPr="006370DA" w:rsidRDefault="005D46C2" w:rsidP="005D46C2">
      <w:pPr>
        <w:pStyle w:val="ListParagraph"/>
        <w:numPr>
          <w:ilvl w:val="0"/>
          <w:numId w:val="3"/>
        </w:numPr>
        <w:spacing w:after="0" w:line="240" w:lineRule="auto"/>
        <w:jc w:val="both"/>
        <w:rPr>
          <w:rFonts w:ascii="Tahoma" w:hAnsi="Tahoma" w:cs="Tahoma"/>
          <w:sz w:val="16"/>
          <w:szCs w:val="16"/>
          <w:lang w:eastAsia="sl-SI"/>
        </w:rPr>
      </w:pPr>
      <w:r w:rsidRPr="006370DA">
        <w:rPr>
          <w:rFonts w:ascii="Tahoma" w:hAnsi="Tahoma" w:cs="Tahoma"/>
          <w:sz w:val="16"/>
          <w:szCs w:val="16"/>
          <w:lang w:eastAsia="sl-SI"/>
        </w:rPr>
        <w:t xml:space="preserve">Projekti v zdravstvenem sektorju z varovanimi ali forenzičnimi enotami. </w:t>
      </w:r>
    </w:p>
    <w:p w14:paraId="1CC4D8E2" w14:textId="77777777" w:rsidR="005D46C2" w:rsidRPr="006370DA" w:rsidRDefault="005D46C2" w:rsidP="005D46C2">
      <w:pPr>
        <w:pStyle w:val="ListParagraph"/>
        <w:numPr>
          <w:ilvl w:val="0"/>
          <w:numId w:val="3"/>
        </w:numPr>
        <w:spacing w:after="0" w:line="240" w:lineRule="auto"/>
        <w:jc w:val="both"/>
        <w:rPr>
          <w:rFonts w:ascii="Tahoma" w:hAnsi="Tahoma" w:cs="Tahoma"/>
          <w:sz w:val="16"/>
          <w:szCs w:val="16"/>
          <w:lang w:eastAsia="sl-SI"/>
        </w:rPr>
      </w:pPr>
      <w:r w:rsidRPr="006370DA">
        <w:rPr>
          <w:rFonts w:ascii="Tahoma" w:hAnsi="Tahoma" w:cs="Tahoma"/>
          <w:sz w:val="16"/>
          <w:szCs w:val="16"/>
          <w:lang w:eastAsia="sl-SI"/>
        </w:rPr>
        <w:t xml:space="preserve">Projekti v izobraževalnem sektorju, ki se izvajajo z namenom ustvarjanja dobička, in sicer v vrtcih, osnovnih in srednjih šolah zunaj Evropske unije. </w:t>
      </w:r>
    </w:p>
    <w:p w14:paraId="46C127B3" w14:textId="77777777" w:rsidR="005D46C2" w:rsidRPr="006370DA" w:rsidRDefault="005D46C2" w:rsidP="005D46C2">
      <w:pPr>
        <w:pStyle w:val="ListParagraph"/>
        <w:numPr>
          <w:ilvl w:val="0"/>
          <w:numId w:val="3"/>
        </w:numPr>
        <w:spacing w:after="0" w:line="240" w:lineRule="auto"/>
        <w:jc w:val="both"/>
        <w:rPr>
          <w:rFonts w:ascii="Tahoma" w:hAnsi="Tahoma" w:cs="Tahoma"/>
          <w:sz w:val="16"/>
          <w:szCs w:val="16"/>
          <w:lang w:eastAsia="sl-SI"/>
        </w:rPr>
      </w:pPr>
      <w:r w:rsidRPr="006370DA">
        <w:rPr>
          <w:rFonts w:ascii="Tahoma" w:hAnsi="Tahoma" w:cs="Tahoma"/>
          <w:sz w:val="16"/>
          <w:szCs w:val="16"/>
          <w:lang w:eastAsia="sl-SI"/>
        </w:rPr>
        <w:t>Proizvodnja letal na konvencionalna goriva in z njimi povezane opreme (</w:t>
      </w:r>
      <w:proofErr w:type="spellStart"/>
      <w:r w:rsidRPr="006370DA">
        <w:rPr>
          <w:rFonts w:ascii="Tahoma" w:hAnsi="Tahoma" w:cs="Tahoma"/>
          <w:sz w:val="16"/>
          <w:szCs w:val="16"/>
          <w:lang w:eastAsia="sl-SI"/>
        </w:rPr>
        <w:t>poddejavnost</w:t>
      </w:r>
      <w:proofErr w:type="spellEnd"/>
      <w:r w:rsidRPr="006370DA">
        <w:rPr>
          <w:rFonts w:ascii="Tahoma" w:hAnsi="Tahoma" w:cs="Tahoma"/>
          <w:sz w:val="16"/>
          <w:szCs w:val="16"/>
          <w:lang w:eastAsia="sl-SI"/>
        </w:rPr>
        <w:t xml:space="preserve"> NACE 30.30). </w:t>
      </w:r>
    </w:p>
    <w:p w14:paraId="7B1CD072" w14:textId="77777777" w:rsidR="005D46C2" w:rsidRPr="006370DA" w:rsidRDefault="005D46C2" w:rsidP="005D46C2">
      <w:pPr>
        <w:pStyle w:val="ListParagraph"/>
        <w:numPr>
          <w:ilvl w:val="0"/>
          <w:numId w:val="3"/>
        </w:numPr>
        <w:spacing w:after="0" w:line="240" w:lineRule="auto"/>
        <w:jc w:val="both"/>
        <w:rPr>
          <w:rFonts w:ascii="Tahoma" w:hAnsi="Tahoma" w:cs="Tahoma"/>
          <w:sz w:val="16"/>
          <w:szCs w:val="16"/>
          <w:lang w:eastAsia="sl-SI"/>
        </w:rPr>
      </w:pPr>
      <w:r w:rsidRPr="006370DA">
        <w:rPr>
          <w:rFonts w:ascii="Tahoma" w:hAnsi="Tahoma" w:cs="Tahoma"/>
          <w:sz w:val="16"/>
          <w:szCs w:val="16"/>
          <w:lang w:eastAsia="sl-SI"/>
        </w:rPr>
        <w:t>Zračni promet na konvencionalna goriva in letališča ter z njimi povezane storitvene dejavnosti (</w:t>
      </w:r>
      <w:proofErr w:type="spellStart"/>
      <w:r w:rsidRPr="006370DA">
        <w:rPr>
          <w:rFonts w:ascii="Tahoma" w:hAnsi="Tahoma" w:cs="Tahoma"/>
          <w:sz w:val="16"/>
          <w:szCs w:val="16"/>
          <w:lang w:eastAsia="sl-SI"/>
        </w:rPr>
        <w:t>poddejavnosti</w:t>
      </w:r>
      <w:proofErr w:type="spellEnd"/>
      <w:r w:rsidRPr="006370DA">
        <w:rPr>
          <w:rFonts w:ascii="Tahoma" w:hAnsi="Tahoma" w:cs="Tahoma"/>
          <w:sz w:val="16"/>
          <w:szCs w:val="16"/>
          <w:lang w:eastAsia="sl-SI"/>
        </w:rPr>
        <w:t xml:space="preserve"> NACE 51.10, 51.21 in 52.23). </w:t>
      </w:r>
    </w:p>
    <w:p w14:paraId="1B759E20" w14:textId="77777777" w:rsidR="005D46C2" w:rsidRPr="006370DA" w:rsidRDefault="005D46C2" w:rsidP="005D46C2">
      <w:pPr>
        <w:pStyle w:val="ListParagraph"/>
        <w:numPr>
          <w:ilvl w:val="0"/>
          <w:numId w:val="3"/>
        </w:numPr>
        <w:spacing w:after="0" w:line="240" w:lineRule="auto"/>
        <w:rPr>
          <w:rFonts w:ascii="Tahoma" w:hAnsi="Tahoma" w:cs="Tahoma"/>
          <w:sz w:val="16"/>
          <w:szCs w:val="16"/>
          <w:lang w:eastAsia="sl-SI"/>
        </w:rPr>
      </w:pPr>
      <w:bookmarkStart w:id="0" w:name="_Hlk211004316"/>
      <w:r w:rsidRPr="006370DA">
        <w:rPr>
          <w:rFonts w:ascii="Tahoma" w:hAnsi="Tahoma" w:cs="Tahoma"/>
          <w:sz w:val="16"/>
          <w:szCs w:val="16"/>
          <w:lang w:eastAsia="sl-SI"/>
        </w:rPr>
        <w:t xml:space="preserve">Energetsko intenzivne in/ali </w:t>
      </w:r>
      <w:proofErr w:type="spellStart"/>
      <w:r w:rsidRPr="006370DA">
        <w:rPr>
          <w:rFonts w:ascii="Tahoma" w:hAnsi="Tahoma" w:cs="Tahoma"/>
          <w:sz w:val="16"/>
          <w:szCs w:val="16"/>
          <w:lang w:eastAsia="sl-SI"/>
        </w:rPr>
        <w:t>visokoogljične</w:t>
      </w:r>
      <w:proofErr w:type="spellEnd"/>
      <w:r w:rsidRPr="006370DA">
        <w:rPr>
          <w:rFonts w:ascii="Tahoma" w:hAnsi="Tahoma" w:cs="Tahoma"/>
          <w:sz w:val="16"/>
          <w:szCs w:val="16"/>
          <w:lang w:eastAsia="sl-SI"/>
        </w:rPr>
        <w:t xml:space="preserve"> industrije in sektorji </w:t>
      </w:r>
      <w:bookmarkEnd w:id="0"/>
      <w:r w:rsidRPr="006370DA">
        <w:rPr>
          <w:rFonts w:ascii="Tahoma" w:hAnsi="Tahoma" w:cs="Tahoma"/>
          <w:sz w:val="16"/>
          <w:szCs w:val="16"/>
          <w:lang w:eastAsia="sl-SI"/>
        </w:rPr>
        <w:t>(po nomenklaturi NACE, 4-mestna raven):</w:t>
      </w:r>
      <w:r w:rsidRPr="006370DA">
        <w:rPr>
          <w:rFonts w:ascii="Tahoma" w:hAnsi="Tahoma" w:cs="Tahoma"/>
          <w:sz w:val="16"/>
          <w:szCs w:val="16"/>
          <w:lang w:eastAsia="sl-SI"/>
        </w:rPr>
        <w:br/>
        <w:t>(i) Proizvodnja črnega ogljika, sode in klora (del NACE 20.13 – proizvodnja drugih anorganskih osnovnih kemikalij);</w:t>
      </w:r>
      <w:r w:rsidRPr="006370DA">
        <w:rPr>
          <w:rFonts w:ascii="Tahoma" w:hAnsi="Tahoma" w:cs="Tahoma"/>
          <w:sz w:val="16"/>
          <w:szCs w:val="16"/>
          <w:lang w:eastAsia="sl-SI"/>
        </w:rPr>
        <w:br/>
        <w:t>(ii) Proizvodnja drugih organskih osnovnih kemikalij (del NACE 20.14);</w:t>
      </w:r>
      <w:r w:rsidRPr="006370DA">
        <w:rPr>
          <w:rFonts w:ascii="Tahoma" w:hAnsi="Tahoma" w:cs="Tahoma"/>
          <w:sz w:val="16"/>
          <w:szCs w:val="16"/>
          <w:lang w:eastAsia="sl-SI"/>
        </w:rPr>
        <w:br/>
        <w:t>(iii) Proizvodnja dušikovih spojin in gnojil, ki vsebujejo dušikove spojine (</w:t>
      </w:r>
      <w:proofErr w:type="spellStart"/>
      <w:r w:rsidRPr="006370DA">
        <w:rPr>
          <w:rFonts w:ascii="Tahoma" w:hAnsi="Tahoma" w:cs="Tahoma"/>
          <w:sz w:val="16"/>
          <w:szCs w:val="16"/>
          <w:lang w:eastAsia="sl-SI"/>
        </w:rPr>
        <w:t>poddejavnosti</w:t>
      </w:r>
      <w:proofErr w:type="spellEnd"/>
      <w:r w:rsidRPr="006370DA">
        <w:rPr>
          <w:rFonts w:ascii="Tahoma" w:hAnsi="Tahoma" w:cs="Tahoma"/>
          <w:sz w:val="16"/>
          <w:szCs w:val="16"/>
          <w:lang w:eastAsia="sl-SI"/>
        </w:rPr>
        <w:t xml:space="preserve"> NACE 20.15);</w:t>
      </w:r>
      <w:r w:rsidRPr="006370DA">
        <w:rPr>
          <w:rFonts w:ascii="Tahoma" w:hAnsi="Tahoma" w:cs="Tahoma"/>
          <w:sz w:val="16"/>
          <w:szCs w:val="16"/>
          <w:lang w:eastAsia="sl-SI"/>
        </w:rPr>
        <w:br/>
        <w:t>(iv) Proizvodnja plastike v primarni obliki (NACE 20.16);</w:t>
      </w:r>
      <w:r w:rsidRPr="006370DA">
        <w:rPr>
          <w:rFonts w:ascii="Tahoma" w:hAnsi="Tahoma" w:cs="Tahoma"/>
          <w:sz w:val="16"/>
          <w:szCs w:val="16"/>
          <w:lang w:eastAsia="sl-SI"/>
        </w:rPr>
        <w:br/>
        <w:t>(v) Proizvodnja cementa (NACE 23.51);</w:t>
      </w:r>
      <w:r w:rsidRPr="006370DA">
        <w:rPr>
          <w:rFonts w:ascii="Tahoma" w:hAnsi="Tahoma" w:cs="Tahoma"/>
          <w:sz w:val="16"/>
          <w:szCs w:val="16"/>
          <w:lang w:eastAsia="sl-SI"/>
        </w:rPr>
        <w:br/>
        <w:t xml:space="preserve">(vi) Proizvodnja surovega železa in jekla ter </w:t>
      </w:r>
      <w:proofErr w:type="spellStart"/>
      <w:r w:rsidRPr="006370DA">
        <w:rPr>
          <w:rFonts w:ascii="Tahoma" w:hAnsi="Tahoma" w:cs="Tahoma"/>
          <w:sz w:val="16"/>
          <w:szCs w:val="16"/>
          <w:lang w:eastAsia="sl-SI"/>
        </w:rPr>
        <w:t>ferozlitin</w:t>
      </w:r>
      <w:proofErr w:type="spellEnd"/>
      <w:r w:rsidRPr="006370DA">
        <w:rPr>
          <w:rFonts w:ascii="Tahoma" w:hAnsi="Tahoma" w:cs="Tahoma"/>
          <w:sz w:val="16"/>
          <w:szCs w:val="16"/>
          <w:lang w:eastAsia="sl-SI"/>
        </w:rPr>
        <w:t xml:space="preserve"> (NACE 24.10);</w:t>
      </w:r>
      <w:r w:rsidRPr="006370DA">
        <w:rPr>
          <w:rFonts w:ascii="Tahoma" w:hAnsi="Tahoma" w:cs="Tahoma"/>
          <w:sz w:val="16"/>
          <w:szCs w:val="16"/>
          <w:lang w:eastAsia="sl-SI"/>
        </w:rPr>
        <w:br/>
        <w:t xml:space="preserve">(vii) Proizvodnja cevi, votlih profilov in podobnih </w:t>
      </w:r>
      <w:proofErr w:type="spellStart"/>
      <w:r w:rsidRPr="006370DA">
        <w:rPr>
          <w:rFonts w:ascii="Tahoma" w:hAnsi="Tahoma" w:cs="Tahoma"/>
          <w:sz w:val="16"/>
          <w:szCs w:val="16"/>
          <w:lang w:eastAsia="sl-SI"/>
        </w:rPr>
        <w:t>fitingov</w:t>
      </w:r>
      <w:proofErr w:type="spellEnd"/>
      <w:r w:rsidRPr="006370DA">
        <w:rPr>
          <w:rFonts w:ascii="Tahoma" w:hAnsi="Tahoma" w:cs="Tahoma"/>
          <w:sz w:val="16"/>
          <w:szCs w:val="16"/>
          <w:lang w:eastAsia="sl-SI"/>
        </w:rPr>
        <w:t xml:space="preserve"> iz jekla (NACE 24.20);</w:t>
      </w:r>
      <w:r w:rsidRPr="006370DA">
        <w:rPr>
          <w:rFonts w:ascii="Tahoma" w:hAnsi="Tahoma" w:cs="Tahoma"/>
          <w:sz w:val="16"/>
          <w:szCs w:val="16"/>
          <w:lang w:eastAsia="sl-SI"/>
        </w:rPr>
        <w:br/>
        <w:t>(viii) Proizvodnja drugih izdelkov iz prve predelave jekla (NACE 24.30, vključno z 24.31–24.34);</w:t>
      </w:r>
      <w:r w:rsidRPr="006370DA">
        <w:rPr>
          <w:rFonts w:ascii="Tahoma" w:hAnsi="Tahoma" w:cs="Tahoma"/>
          <w:sz w:val="16"/>
          <w:szCs w:val="16"/>
          <w:lang w:eastAsia="sl-SI"/>
        </w:rPr>
        <w:br/>
        <w:t>(ix) Proizvodnja aluminija (NACE 24.42).</w:t>
      </w:r>
    </w:p>
    <w:p w14:paraId="0A3FFD15" w14:textId="77777777" w:rsidR="005D46C2" w:rsidRPr="006370DA" w:rsidRDefault="005D46C2" w:rsidP="005D46C2">
      <w:pPr>
        <w:jc w:val="both"/>
        <w:rPr>
          <w:rFonts w:ascii="Tahoma" w:hAnsi="Tahoma" w:cs="Tahoma"/>
          <w:sz w:val="16"/>
          <w:szCs w:val="16"/>
          <w:lang w:eastAsia="sl-SI"/>
        </w:rPr>
      </w:pPr>
    </w:p>
    <w:p w14:paraId="53DCBEBB" w14:textId="77777777" w:rsidR="005D46C2" w:rsidRPr="006370DA" w:rsidRDefault="005D46C2" w:rsidP="005D46C2">
      <w:pPr>
        <w:pStyle w:val="ListParagraph"/>
        <w:numPr>
          <w:ilvl w:val="0"/>
          <w:numId w:val="2"/>
        </w:numPr>
        <w:autoSpaceDE w:val="0"/>
        <w:autoSpaceDN w:val="0"/>
        <w:adjustRightInd w:val="0"/>
        <w:spacing w:after="0" w:line="240" w:lineRule="auto"/>
        <w:jc w:val="both"/>
        <w:rPr>
          <w:rFonts w:ascii="Tahoma" w:hAnsi="Tahoma" w:cs="Tahoma"/>
          <w:sz w:val="16"/>
          <w:szCs w:val="16"/>
        </w:rPr>
      </w:pPr>
      <w:r w:rsidRPr="006370DA">
        <w:rPr>
          <w:rFonts w:ascii="Tahoma" w:hAnsi="Tahoma" w:cs="Tahoma"/>
          <w:sz w:val="16"/>
          <w:szCs w:val="16"/>
        </w:rPr>
        <w:t xml:space="preserve">Končni prejemnik ne sme delovati in jamstva ne sme uporabiti za sledeče </w:t>
      </w:r>
      <w:proofErr w:type="spellStart"/>
      <w:r w:rsidRPr="006370DA">
        <w:rPr>
          <w:rFonts w:ascii="Tahoma" w:hAnsi="Tahoma" w:cs="Tahoma"/>
          <w:b/>
          <w:bCs/>
          <w:sz w:val="16"/>
          <w:szCs w:val="16"/>
          <w:u w:val="single"/>
        </w:rPr>
        <w:t>InvestEU</w:t>
      </w:r>
      <w:proofErr w:type="spellEnd"/>
      <w:r w:rsidRPr="006370DA">
        <w:rPr>
          <w:rFonts w:ascii="Tahoma" w:hAnsi="Tahoma" w:cs="Tahoma"/>
          <w:b/>
          <w:bCs/>
          <w:sz w:val="16"/>
          <w:szCs w:val="16"/>
          <w:u w:val="single"/>
        </w:rPr>
        <w:t xml:space="preserve"> izključene dejavnosti</w:t>
      </w:r>
      <w:r w:rsidRPr="006370DA">
        <w:rPr>
          <w:rFonts w:ascii="Tahoma" w:hAnsi="Tahoma" w:cs="Tahoma"/>
          <w:b/>
          <w:bCs/>
          <w:sz w:val="16"/>
          <w:szCs w:val="16"/>
        </w:rPr>
        <w:t>:</w:t>
      </w:r>
    </w:p>
    <w:p w14:paraId="568DFD4D" w14:textId="77777777" w:rsidR="005D46C2" w:rsidRPr="006370DA" w:rsidRDefault="005D46C2" w:rsidP="005D46C2">
      <w:pPr>
        <w:numPr>
          <w:ilvl w:val="0"/>
          <w:numId w:val="4"/>
        </w:numPr>
        <w:spacing w:before="100" w:beforeAutospacing="1" w:after="100" w:afterAutospacing="1" w:line="240" w:lineRule="auto"/>
        <w:rPr>
          <w:rFonts w:ascii="Tahoma" w:eastAsia="Times New Roman" w:hAnsi="Tahoma" w:cs="Tahoma"/>
          <w:sz w:val="16"/>
          <w:szCs w:val="16"/>
          <w:lang w:eastAsia="sl-SI"/>
        </w:rPr>
      </w:pPr>
      <w:r w:rsidRPr="006370DA">
        <w:rPr>
          <w:rFonts w:ascii="Tahoma" w:eastAsia="Times New Roman" w:hAnsi="Tahoma" w:cs="Tahoma"/>
          <w:sz w:val="16"/>
          <w:szCs w:val="16"/>
          <w:lang w:eastAsia="sl-SI"/>
        </w:rPr>
        <w:t>Dejavnosti, ki omejujejo posameznikove pravice in svoboščine ali kršijo človekove pravice.</w:t>
      </w:r>
    </w:p>
    <w:p w14:paraId="203B45FF" w14:textId="77777777" w:rsidR="005D46C2" w:rsidRPr="006370DA" w:rsidRDefault="005D46C2" w:rsidP="005D46C2">
      <w:pPr>
        <w:numPr>
          <w:ilvl w:val="0"/>
          <w:numId w:val="4"/>
        </w:numPr>
        <w:spacing w:before="100" w:beforeAutospacing="1" w:after="100" w:afterAutospacing="1" w:line="240" w:lineRule="auto"/>
        <w:rPr>
          <w:rFonts w:ascii="Tahoma" w:eastAsia="Times New Roman" w:hAnsi="Tahoma" w:cs="Tahoma"/>
          <w:sz w:val="16"/>
          <w:szCs w:val="16"/>
          <w:lang w:eastAsia="sl-SI"/>
        </w:rPr>
      </w:pPr>
      <w:r w:rsidRPr="006370DA">
        <w:rPr>
          <w:rFonts w:ascii="Tahoma" w:eastAsia="Times New Roman" w:hAnsi="Tahoma" w:cs="Tahoma"/>
          <w:sz w:val="16"/>
          <w:szCs w:val="16"/>
          <w:lang w:eastAsia="sl-SI"/>
        </w:rPr>
        <w:t>Dejavnosti na področju obrambe ter uporaba, razvoj ali proizvodnja proizvodov in tehnologij, ki so prepovedani z veljavnim mednarodnim pravom.</w:t>
      </w:r>
    </w:p>
    <w:p w14:paraId="1CF90501" w14:textId="77777777" w:rsidR="005D46C2" w:rsidRPr="006370DA" w:rsidRDefault="005D46C2" w:rsidP="005D46C2">
      <w:pPr>
        <w:numPr>
          <w:ilvl w:val="0"/>
          <w:numId w:val="4"/>
        </w:numPr>
        <w:spacing w:before="100" w:beforeAutospacing="1" w:after="100" w:afterAutospacing="1" w:line="240" w:lineRule="auto"/>
        <w:rPr>
          <w:rFonts w:ascii="Tahoma" w:eastAsia="Times New Roman" w:hAnsi="Tahoma" w:cs="Tahoma"/>
          <w:sz w:val="16"/>
          <w:szCs w:val="16"/>
          <w:lang w:eastAsia="sl-SI"/>
        </w:rPr>
      </w:pPr>
      <w:r w:rsidRPr="006370DA">
        <w:rPr>
          <w:rFonts w:ascii="Tahoma" w:eastAsia="Times New Roman" w:hAnsi="Tahoma" w:cs="Tahoma"/>
          <w:sz w:val="16"/>
          <w:szCs w:val="16"/>
          <w:lang w:eastAsia="sl-SI"/>
        </w:rPr>
        <w:t>Proizvodi in dejavnosti, povezani s tobakom (proizvodnja, distribucija, predelava in trgovina).</w:t>
      </w:r>
    </w:p>
    <w:p w14:paraId="1841C824" w14:textId="77777777" w:rsidR="005D46C2" w:rsidRPr="006370DA" w:rsidRDefault="005D46C2" w:rsidP="005D46C2">
      <w:pPr>
        <w:numPr>
          <w:ilvl w:val="0"/>
          <w:numId w:val="4"/>
        </w:numPr>
        <w:spacing w:before="100" w:beforeAutospacing="1" w:after="100" w:afterAutospacing="1" w:line="240" w:lineRule="auto"/>
        <w:rPr>
          <w:rFonts w:ascii="Tahoma" w:eastAsia="Times New Roman" w:hAnsi="Tahoma" w:cs="Tahoma"/>
          <w:sz w:val="16"/>
          <w:szCs w:val="16"/>
          <w:lang w:eastAsia="sl-SI"/>
        </w:rPr>
      </w:pPr>
      <w:r w:rsidRPr="006370DA">
        <w:rPr>
          <w:rFonts w:ascii="Tahoma" w:eastAsia="Times New Roman" w:hAnsi="Tahoma" w:cs="Tahoma"/>
          <w:sz w:val="16"/>
          <w:szCs w:val="16"/>
          <w:lang w:eastAsia="sl-SI"/>
        </w:rPr>
        <w:t>Dejavnosti, izključene iz financiranja v skladu z ustreznimi določbami Uredbe o programu Obzorje Evropa (Uredba (EU) 2021/695 Evropskega parlamenta in Sveta z dne 28. aprila 2021 o vzpostavitvi programa Obzorje Evropa – okvirnega programa za raziskave in inovacije, ki določa pravila za sodelovanje in razširjanje): raziskave o kloniranju ljudi za razmnoževalne namene; dejavnosti, namenjene spreminjanju človeške genske zasnove na način, ki bi lahko povzročil dedne spremembe; ter dejavnosti, katerih namen je ustvarjanje človeških zarodkov izključno za raziskovalne namene ali za pridobivanje matičnih celic, vključno s somatskim celičnim jedrnim prenosom.</w:t>
      </w:r>
    </w:p>
    <w:p w14:paraId="2EA7B936" w14:textId="77777777" w:rsidR="005D46C2" w:rsidRPr="006370DA" w:rsidRDefault="005D46C2" w:rsidP="005D46C2">
      <w:pPr>
        <w:numPr>
          <w:ilvl w:val="0"/>
          <w:numId w:val="4"/>
        </w:numPr>
        <w:spacing w:before="100" w:beforeAutospacing="1" w:after="100" w:afterAutospacing="1" w:line="240" w:lineRule="auto"/>
        <w:rPr>
          <w:rFonts w:ascii="Tahoma" w:eastAsia="Times New Roman" w:hAnsi="Tahoma" w:cs="Tahoma"/>
          <w:sz w:val="16"/>
          <w:szCs w:val="16"/>
          <w:lang w:eastAsia="sl-SI"/>
        </w:rPr>
      </w:pPr>
      <w:r w:rsidRPr="006370DA">
        <w:rPr>
          <w:rFonts w:ascii="Tahoma" w:eastAsia="Times New Roman" w:hAnsi="Tahoma" w:cs="Tahoma"/>
          <w:sz w:val="16"/>
          <w:szCs w:val="16"/>
          <w:lang w:eastAsia="sl-SI"/>
        </w:rPr>
        <w:t>Igralništvo (dejavnosti, povezane s proizvodnjo, gradnjo, distribucijo, predelavo, trgovino ali programsko opremo).</w:t>
      </w:r>
    </w:p>
    <w:p w14:paraId="737925EE" w14:textId="77777777" w:rsidR="005D46C2" w:rsidRPr="006370DA" w:rsidRDefault="005D46C2" w:rsidP="005D46C2">
      <w:pPr>
        <w:numPr>
          <w:ilvl w:val="0"/>
          <w:numId w:val="4"/>
        </w:numPr>
        <w:spacing w:before="100" w:beforeAutospacing="1" w:after="100" w:afterAutospacing="1" w:line="240" w:lineRule="auto"/>
        <w:rPr>
          <w:rFonts w:ascii="Tahoma" w:eastAsia="Times New Roman" w:hAnsi="Tahoma" w:cs="Tahoma"/>
          <w:sz w:val="16"/>
          <w:szCs w:val="16"/>
          <w:lang w:eastAsia="sl-SI"/>
        </w:rPr>
      </w:pPr>
      <w:r w:rsidRPr="006370DA">
        <w:rPr>
          <w:rFonts w:ascii="Tahoma" w:eastAsia="Times New Roman" w:hAnsi="Tahoma" w:cs="Tahoma"/>
          <w:sz w:val="16"/>
          <w:szCs w:val="16"/>
          <w:lang w:eastAsia="sl-SI"/>
        </w:rPr>
        <w:t>Spolna industrija ter z njo povezana infrastruktura, storitve in mediji.</w:t>
      </w:r>
    </w:p>
    <w:p w14:paraId="09B10916" w14:textId="77777777" w:rsidR="005D46C2" w:rsidRPr="006370DA" w:rsidRDefault="005D46C2" w:rsidP="005D46C2">
      <w:pPr>
        <w:numPr>
          <w:ilvl w:val="0"/>
          <w:numId w:val="4"/>
        </w:numPr>
        <w:spacing w:before="100" w:beforeAutospacing="1" w:after="100" w:afterAutospacing="1" w:line="240" w:lineRule="auto"/>
        <w:rPr>
          <w:rFonts w:ascii="Tahoma" w:eastAsia="Times New Roman" w:hAnsi="Tahoma" w:cs="Tahoma"/>
          <w:sz w:val="16"/>
          <w:szCs w:val="16"/>
          <w:lang w:eastAsia="sl-SI"/>
        </w:rPr>
      </w:pPr>
      <w:r w:rsidRPr="006370DA">
        <w:rPr>
          <w:rFonts w:ascii="Tahoma" w:eastAsia="Times New Roman" w:hAnsi="Tahoma" w:cs="Tahoma"/>
          <w:sz w:val="16"/>
          <w:szCs w:val="16"/>
          <w:lang w:eastAsia="sl-SI"/>
        </w:rPr>
        <w:t>Dejavnosti, ki vključujejo žive živali za eksperimentalne in znanstvene namene, če ni mogoče zagotoviti skladnosti z Evropsko konvencijo o zaščiti vretenčarjev, ki se uporabljajo za eksperimentalne in druge znanstvene namene.</w:t>
      </w:r>
    </w:p>
    <w:p w14:paraId="67B63A93" w14:textId="77777777" w:rsidR="005D46C2" w:rsidRPr="006370DA" w:rsidRDefault="005D46C2" w:rsidP="005D46C2">
      <w:pPr>
        <w:numPr>
          <w:ilvl w:val="0"/>
          <w:numId w:val="4"/>
        </w:numPr>
        <w:spacing w:before="100" w:beforeAutospacing="1" w:after="100" w:afterAutospacing="1" w:line="240" w:lineRule="auto"/>
        <w:rPr>
          <w:rFonts w:ascii="Tahoma" w:eastAsia="Times New Roman" w:hAnsi="Tahoma" w:cs="Tahoma"/>
          <w:sz w:val="16"/>
          <w:szCs w:val="16"/>
          <w:lang w:eastAsia="sl-SI"/>
        </w:rPr>
      </w:pPr>
      <w:r w:rsidRPr="006370DA">
        <w:rPr>
          <w:rFonts w:ascii="Tahoma" w:eastAsia="Times New Roman" w:hAnsi="Tahoma" w:cs="Tahoma"/>
          <w:sz w:val="16"/>
          <w:szCs w:val="16"/>
          <w:lang w:eastAsia="sl-SI"/>
        </w:rPr>
        <w:t xml:space="preserve">Dejavnosti razvoja nepremičnin, kot so dejavnosti, katerih edini namen je prenova in ponovna oddaja ali prodaja obstoječih stavb ter gradnja novih projektov; vendar pa so dejavnosti v nepremičninskem sektorju, ki so povezane s posebnimi cilji programa </w:t>
      </w:r>
      <w:proofErr w:type="spellStart"/>
      <w:r w:rsidRPr="006370DA">
        <w:rPr>
          <w:rFonts w:ascii="Tahoma" w:eastAsia="Times New Roman" w:hAnsi="Tahoma" w:cs="Tahoma"/>
          <w:sz w:val="16"/>
          <w:szCs w:val="16"/>
          <w:lang w:eastAsia="sl-SI"/>
        </w:rPr>
        <w:t>InvestEU</w:t>
      </w:r>
      <w:proofErr w:type="spellEnd"/>
      <w:r w:rsidRPr="006370DA">
        <w:rPr>
          <w:rFonts w:ascii="Tahoma" w:eastAsia="Times New Roman" w:hAnsi="Tahoma" w:cs="Tahoma"/>
          <w:sz w:val="16"/>
          <w:szCs w:val="16"/>
          <w:lang w:eastAsia="sl-SI"/>
        </w:rPr>
        <w:t xml:space="preserve">, kot so določeni v členu 3(2) Uredbe </w:t>
      </w:r>
      <w:proofErr w:type="spellStart"/>
      <w:r w:rsidRPr="006370DA">
        <w:rPr>
          <w:rFonts w:ascii="Tahoma" w:eastAsia="Times New Roman" w:hAnsi="Tahoma" w:cs="Tahoma"/>
          <w:sz w:val="16"/>
          <w:szCs w:val="16"/>
          <w:lang w:eastAsia="sl-SI"/>
        </w:rPr>
        <w:t>InvestEU</w:t>
      </w:r>
      <w:proofErr w:type="spellEnd"/>
      <w:r w:rsidRPr="006370DA">
        <w:rPr>
          <w:rFonts w:ascii="Tahoma" w:eastAsia="Times New Roman" w:hAnsi="Tahoma" w:cs="Tahoma"/>
          <w:sz w:val="16"/>
          <w:szCs w:val="16"/>
          <w:lang w:eastAsia="sl-SI"/>
        </w:rPr>
        <w:t xml:space="preserve">, in z območji, upravičenimi do financiranja in naložbenih operacij v skladu s Prilogo II k Uredbi </w:t>
      </w:r>
      <w:proofErr w:type="spellStart"/>
      <w:r w:rsidRPr="006370DA">
        <w:rPr>
          <w:rFonts w:ascii="Tahoma" w:eastAsia="Times New Roman" w:hAnsi="Tahoma" w:cs="Tahoma"/>
          <w:sz w:val="16"/>
          <w:szCs w:val="16"/>
          <w:lang w:eastAsia="sl-SI"/>
        </w:rPr>
        <w:t>InvestEU</w:t>
      </w:r>
      <w:proofErr w:type="spellEnd"/>
      <w:r w:rsidRPr="006370DA">
        <w:rPr>
          <w:rFonts w:ascii="Tahoma" w:eastAsia="Times New Roman" w:hAnsi="Tahoma" w:cs="Tahoma"/>
          <w:sz w:val="16"/>
          <w:szCs w:val="16"/>
          <w:lang w:eastAsia="sl-SI"/>
        </w:rPr>
        <w:t>, kot so naložbe v energetsko učinkovitost ali socialna stanovanja, upravičene.</w:t>
      </w:r>
    </w:p>
    <w:p w14:paraId="54F21256" w14:textId="77777777" w:rsidR="005D46C2" w:rsidRPr="006370DA" w:rsidRDefault="005D46C2" w:rsidP="005D46C2">
      <w:pPr>
        <w:numPr>
          <w:ilvl w:val="0"/>
          <w:numId w:val="4"/>
        </w:numPr>
        <w:spacing w:before="100" w:beforeAutospacing="1" w:after="100" w:afterAutospacing="1" w:line="240" w:lineRule="auto"/>
        <w:rPr>
          <w:rFonts w:ascii="Tahoma" w:eastAsia="Times New Roman" w:hAnsi="Tahoma" w:cs="Tahoma"/>
          <w:sz w:val="16"/>
          <w:szCs w:val="16"/>
          <w:lang w:eastAsia="sl-SI"/>
        </w:rPr>
      </w:pPr>
      <w:r w:rsidRPr="006370DA">
        <w:rPr>
          <w:rFonts w:ascii="Tahoma" w:eastAsia="Times New Roman" w:hAnsi="Tahoma" w:cs="Tahoma"/>
          <w:sz w:val="16"/>
          <w:szCs w:val="16"/>
          <w:lang w:eastAsia="sl-SI"/>
        </w:rPr>
        <w:t>Finančne dejavnosti, kot so nakup ali trgovanje s finančnimi instrumenti; zlasti so izključene intervencije, katerih cilj je prevzem z namenom izčrpavanja sredstev ali zamenjava kapitala z istim namenom.</w:t>
      </w:r>
    </w:p>
    <w:p w14:paraId="65B64D86" w14:textId="77777777" w:rsidR="005D46C2" w:rsidRPr="006370DA" w:rsidRDefault="005D46C2" w:rsidP="005D46C2">
      <w:pPr>
        <w:numPr>
          <w:ilvl w:val="0"/>
          <w:numId w:val="4"/>
        </w:numPr>
        <w:spacing w:before="100" w:beforeAutospacing="1" w:after="100" w:afterAutospacing="1" w:line="240" w:lineRule="auto"/>
        <w:rPr>
          <w:rFonts w:ascii="Tahoma" w:eastAsia="Times New Roman" w:hAnsi="Tahoma" w:cs="Tahoma"/>
          <w:sz w:val="16"/>
          <w:szCs w:val="16"/>
          <w:lang w:eastAsia="sl-SI"/>
        </w:rPr>
      </w:pPr>
      <w:r w:rsidRPr="006370DA">
        <w:rPr>
          <w:rFonts w:ascii="Tahoma" w:eastAsia="Times New Roman" w:hAnsi="Tahoma" w:cs="Tahoma"/>
          <w:sz w:val="16"/>
          <w:szCs w:val="16"/>
          <w:lang w:eastAsia="sl-SI"/>
        </w:rPr>
        <w:t>Dejavnosti, ki so prepovedane z veljavno nacionalno zakonodajo.</w:t>
      </w:r>
    </w:p>
    <w:p w14:paraId="1DC8F72E" w14:textId="77777777" w:rsidR="005D46C2" w:rsidRPr="006370DA" w:rsidRDefault="005D46C2" w:rsidP="005D46C2">
      <w:pPr>
        <w:numPr>
          <w:ilvl w:val="0"/>
          <w:numId w:val="4"/>
        </w:numPr>
        <w:spacing w:before="100" w:beforeAutospacing="1" w:after="100" w:afterAutospacing="1" w:line="240" w:lineRule="auto"/>
        <w:rPr>
          <w:rFonts w:ascii="Tahoma" w:eastAsia="Times New Roman" w:hAnsi="Tahoma" w:cs="Tahoma"/>
          <w:sz w:val="16"/>
          <w:szCs w:val="16"/>
          <w:lang w:eastAsia="sl-SI"/>
        </w:rPr>
      </w:pPr>
      <w:r w:rsidRPr="006370DA">
        <w:rPr>
          <w:rFonts w:ascii="Tahoma" w:eastAsia="Times New Roman" w:hAnsi="Tahoma" w:cs="Tahoma"/>
          <w:sz w:val="16"/>
          <w:szCs w:val="16"/>
          <w:lang w:eastAsia="sl-SI"/>
        </w:rPr>
        <w:t>Zapiranje, obratovanje, prilagoditev ali gradnja jedrskih elektrarn.</w:t>
      </w:r>
    </w:p>
    <w:p w14:paraId="41BF6FF6" w14:textId="77777777" w:rsidR="005D46C2" w:rsidRPr="006370DA" w:rsidRDefault="005D46C2" w:rsidP="005D46C2">
      <w:pPr>
        <w:numPr>
          <w:ilvl w:val="0"/>
          <w:numId w:val="4"/>
        </w:numPr>
        <w:spacing w:before="100" w:beforeAutospacing="1" w:after="100" w:afterAutospacing="1" w:line="240" w:lineRule="auto"/>
        <w:rPr>
          <w:rFonts w:ascii="Tahoma" w:eastAsia="Times New Roman" w:hAnsi="Tahoma" w:cs="Tahoma"/>
          <w:sz w:val="16"/>
          <w:szCs w:val="16"/>
          <w:lang w:eastAsia="sl-SI"/>
        </w:rPr>
      </w:pPr>
      <w:r w:rsidRPr="006370DA">
        <w:rPr>
          <w:rFonts w:ascii="Tahoma" w:eastAsia="Times New Roman" w:hAnsi="Tahoma" w:cs="Tahoma"/>
          <w:sz w:val="16"/>
          <w:szCs w:val="16"/>
          <w:lang w:eastAsia="sl-SI"/>
        </w:rPr>
        <w:t>Naložbe, povezane z rudarjenjem ali z izkopavanjem, predelavo, distribucijo, skladiščenjem ali zgorevanjem trdnih fosilnih goriv in nafte, ter naložbe, povezane z izkopavanjem plina. Ta izključitev ne velja za:</w:t>
      </w:r>
      <w:r w:rsidRPr="006370DA">
        <w:rPr>
          <w:rFonts w:ascii="Tahoma" w:eastAsia="Times New Roman" w:hAnsi="Tahoma" w:cs="Tahoma"/>
          <w:sz w:val="16"/>
          <w:szCs w:val="16"/>
          <w:lang w:eastAsia="sl-SI"/>
        </w:rPr>
        <w:br/>
        <w:t>(a) projekte, za katere ne obstaja izvedljiva alternativna tehnologija;</w:t>
      </w:r>
      <w:r w:rsidRPr="006370DA">
        <w:rPr>
          <w:rFonts w:ascii="Tahoma" w:eastAsia="Times New Roman" w:hAnsi="Tahoma" w:cs="Tahoma"/>
          <w:sz w:val="16"/>
          <w:szCs w:val="16"/>
          <w:lang w:eastAsia="sl-SI"/>
        </w:rPr>
        <w:br/>
        <w:t>(b) projekte, povezane s preprečevanjem in nadzorom onesnaževanja;</w:t>
      </w:r>
      <w:r w:rsidRPr="006370DA">
        <w:rPr>
          <w:rFonts w:ascii="Tahoma" w:eastAsia="Times New Roman" w:hAnsi="Tahoma" w:cs="Tahoma"/>
          <w:sz w:val="16"/>
          <w:szCs w:val="16"/>
          <w:lang w:eastAsia="sl-SI"/>
        </w:rPr>
        <w:br/>
        <w:t>(c) projekte, opremljene z napravami za zajemanje in shranjevanje ali uporabo ogljikovega dioksida; industrijske ali raziskovalne projekte, ki vodijo do znatnega zmanjšanja emisij toplogrednih plinov v primerjavi z ustreznimi referenčnimi vrednostmi sistema EU za trgovanje z emisijami.</w:t>
      </w:r>
    </w:p>
    <w:p w14:paraId="6836F872" w14:textId="77777777" w:rsidR="005D46C2" w:rsidRPr="006370DA" w:rsidRDefault="005D46C2" w:rsidP="005D46C2">
      <w:pPr>
        <w:numPr>
          <w:ilvl w:val="0"/>
          <w:numId w:val="4"/>
        </w:numPr>
        <w:spacing w:before="100" w:beforeAutospacing="1" w:after="100" w:afterAutospacing="1" w:line="240" w:lineRule="auto"/>
        <w:jc w:val="both"/>
        <w:rPr>
          <w:rFonts w:ascii="Tahoma" w:eastAsia="Times New Roman" w:hAnsi="Tahoma" w:cs="Tahoma"/>
          <w:sz w:val="16"/>
          <w:szCs w:val="16"/>
          <w:lang w:eastAsia="sl-SI"/>
        </w:rPr>
      </w:pPr>
      <w:r w:rsidRPr="006370DA">
        <w:rPr>
          <w:rFonts w:ascii="Tahoma" w:eastAsia="Times New Roman" w:hAnsi="Tahoma" w:cs="Tahoma"/>
          <w:sz w:val="16"/>
          <w:szCs w:val="16"/>
          <w:lang w:eastAsia="sl-SI"/>
        </w:rPr>
        <w:t>Naložbe v objekte za odlaganje odpadkov na odlagališčih. Ta izključitev ne velja za naložbe v:</w:t>
      </w:r>
      <w:r w:rsidRPr="006370DA">
        <w:rPr>
          <w:rFonts w:ascii="Tahoma" w:eastAsia="Times New Roman" w:hAnsi="Tahoma" w:cs="Tahoma"/>
          <w:sz w:val="16"/>
          <w:szCs w:val="16"/>
          <w:lang w:eastAsia="sl-SI"/>
        </w:rPr>
        <w:br/>
        <w:t>(a) objekte za odlaganje odpadkov na kraju samem, ki so pomožni del industrijskega ali rudarskega projekta in kjer je dokazano, da je odlaganje edina izvedljiva možnost za obdelavo odpadkov, ki jih ustvari zadevna dejavnost;</w:t>
      </w:r>
      <w:r w:rsidRPr="006370DA">
        <w:rPr>
          <w:rFonts w:ascii="Tahoma" w:eastAsia="Times New Roman" w:hAnsi="Tahoma" w:cs="Tahoma"/>
          <w:sz w:val="16"/>
          <w:szCs w:val="16"/>
          <w:lang w:eastAsia="sl-SI"/>
        </w:rPr>
        <w:br/>
        <w:t>(b) obstoječa odlagališča, kadar je naložba namenjena izkoriščanju plina iz odlagališč ter spodbujanju rudarjenja odlagališč in ponovne predelave rudarskih odpadkov.</w:t>
      </w:r>
    </w:p>
    <w:p w14:paraId="1FE62394" w14:textId="77777777" w:rsidR="005D46C2" w:rsidRPr="006370DA" w:rsidRDefault="005D46C2" w:rsidP="005D46C2">
      <w:pPr>
        <w:numPr>
          <w:ilvl w:val="0"/>
          <w:numId w:val="4"/>
        </w:numPr>
        <w:spacing w:before="100" w:beforeAutospacing="1" w:after="100" w:afterAutospacing="1" w:line="240" w:lineRule="auto"/>
        <w:jc w:val="both"/>
        <w:rPr>
          <w:rFonts w:ascii="Tahoma" w:eastAsia="Times New Roman" w:hAnsi="Tahoma" w:cs="Tahoma"/>
          <w:sz w:val="16"/>
          <w:szCs w:val="16"/>
          <w:lang w:eastAsia="sl-SI"/>
        </w:rPr>
      </w:pPr>
      <w:r w:rsidRPr="006370DA">
        <w:rPr>
          <w:rFonts w:ascii="Tahoma" w:eastAsia="Times New Roman" w:hAnsi="Tahoma" w:cs="Tahoma"/>
          <w:sz w:val="16"/>
          <w:szCs w:val="16"/>
          <w:lang w:eastAsia="sl-SI"/>
        </w:rPr>
        <w:t>Naložbe v obrate za mehansko-biološko obdelavo (MBT) odpadkov, razen če gre za naložbe v posodobitev obstoječih MBT obratov za namen energetske izrabe odpadkov ali reciklaže ločeno zbranih odpadkov, kot sta kompostiranje in anaerobna razgradnja.</w:t>
      </w:r>
    </w:p>
    <w:p w14:paraId="5AEFA966" w14:textId="77777777" w:rsidR="005D46C2" w:rsidRPr="006370DA" w:rsidRDefault="005D46C2" w:rsidP="005D46C2">
      <w:pPr>
        <w:numPr>
          <w:ilvl w:val="0"/>
          <w:numId w:val="4"/>
        </w:numPr>
        <w:spacing w:before="100" w:beforeAutospacing="1" w:after="0" w:line="240" w:lineRule="auto"/>
        <w:jc w:val="both"/>
        <w:rPr>
          <w:rFonts w:ascii="Tahoma" w:eastAsia="Times New Roman" w:hAnsi="Tahoma" w:cs="Tahoma"/>
          <w:sz w:val="16"/>
          <w:szCs w:val="16"/>
          <w:lang w:eastAsia="sl-SI"/>
        </w:rPr>
      </w:pPr>
      <w:r w:rsidRPr="006370DA">
        <w:rPr>
          <w:rFonts w:ascii="Tahoma" w:eastAsia="Times New Roman" w:hAnsi="Tahoma" w:cs="Tahoma"/>
          <w:sz w:val="16"/>
          <w:szCs w:val="16"/>
          <w:lang w:eastAsia="sl-SI"/>
        </w:rPr>
        <w:t>Naložbe v sežigalnice za obdelavo odpadkov, razen če gre za naložbe v:</w:t>
      </w:r>
    </w:p>
    <w:p w14:paraId="37429695" w14:textId="77777777" w:rsidR="005D46C2" w:rsidRPr="006370DA" w:rsidRDefault="005D46C2" w:rsidP="005D46C2">
      <w:pPr>
        <w:pStyle w:val="ListParagraph"/>
        <w:numPr>
          <w:ilvl w:val="1"/>
          <w:numId w:val="4"/>
        </w:numPr>
        <w:spacing w:after="100" w:afterAutospacing="1" w:line="240" w:lineRule="auto"/>
        <w:ind w:left="1134" w:hanging="425"/>
        <w:jc w:val="both"/>
        <w:rPr>
          <w:rFonts w:ascii="Tahoma" w:hAnsi="Tahoma" w:cs="Tahoma"/>
          <w:sz w:val="16"/>
          <w:szCs w:val="16"/>
          <w:lang w:eastAsia="sl-SI"/>
        </w:rPr>
      </w:pPr>
      <w:r w:rsidRPr="006370DA">
        <w:rPr>
          <w:rFonts w:ascii="Tahoma" w:hAnsi="Tahoma" w:cs="Tahoma"/>
          <w:sz w:val="16"/>
          <w:szCs w:val="16"/>
          <w:lang w:eastAsia="sl-SI"/>
        </w:rPr>
        <w:t xml:space="preserve">obrate, namenjene izključno obdelavi </w:t>
      </w:r>
      <w:proofErr w:type="spellStart"/>
      <w:r w:rsidRPr="006370DA">
        <w:rPr>
          <w:rFonts w:ascii="Tahoma" w:hAnsi="Tahoma" w:cs="Tahoma"/>
          <w:sz w:val="16"/>
          <w:szCs w:val="16"/>
          <w:lang w:eastAsia="sl-SI"/>
        </w:rPr>
        <w:t>nereciklabilnih</w:t>
      </w:r>
      <w:proofErr w:type="spellEnd"/>
      <w:r w:rsidRPr="006370DA">
        <w:rPr>
          <w:rFonts w:ascii="Tahoma" w:hAnsi="Tahoma" w:cs="Tahoma"/>
          <w:sz w:val="16"/>
          <w:szCs w:val="16"/>
          <w:lang w:eastAsia="sl-SI"/>
        </w:rPr>
        <w:t xml:space="preserve"> nevarnih odpadkov;</w:t>
      </w:r>
    </w:p>
    <w:p w14:paraId="10979485" w14:textId="77777777" w:rsidR="005D46C2" w:rsidRPr="006370DA" w:rsidRDefault="005D46C2" w:rsidP="005D46C2">
      <w:pPr>
        <w:pStyle w:val="ListParagraph"/>
        <w:numPr>
          <w:ilvl w:val="1"/>
          <w:numId w:val="4"/>
        </w:numPr>
        <w:spacing w:after="100" w:afterAutospacing="1" w:line="240" w:lineRule="auto"/>
        <w:ind w:left="1134" w:hanging="425"/>
        <w:jc w:val="both"/>
        <w:rPr>
          <w:rFonts w:ascii="Tahoma" w:hAnsi="Tahoma" w:cs="Tahoma"/>
          <w:sz w:val="16"/>
          <w:szCs w:val="16"/>
          <w:lang w:eastAsia="sl-SI"/>
        </w:rPr>
      </w:pPr>
      <w:r w:rsidRPr="006370DA">
        <w:rPr>
          <w:rFonts w:ascii="Tahoma" w:hAnsi="Tahoma" w:cs="Tahoma"/>
          <w:sz w:val="16"/>
          <w:szCs w:val="16"/>
          <w:lang w:eastAsia="sl-SI"/>
        </w:rPr>
        <w:lastRenderedPageBreak/>
        <w:t>obstoječe obrate, kadar je naložba namenjena povečanju energetske učinkovitosti, zajemanju izpušnih plinov za shranjevanje ali uporabo ali pridobivanju materialov iz pepela po sežigu, pod pogojem, da takšne naložbe ne povzročijo povečanja zmogljivosti obdelave odpadkov v teh obratih.</w:t>
      </w:r>
    </w:p>
    <w:p w14:paraId="2229633F" w14:textId="77777777" w:rsidR="005D46C2" w:rsidRPr="006370DA" w:rsidRDefault="005D46C2" w:rsidP="005D46C2">
      <w:pPr>
        <w:rPr>
          <w:rFonts w:ascii="Tahoma" w:hAnsi="Tahoma" w:cs="Tahoma"/>
          <w:sz w:val="16"/>
          <w:szCs w:val="16"/>
          <w:lang w:eastAsia="sl-SI"/>
        </w:rPr>
        <w:sectPr w:rsidR="005D46C2" w:rsidRPr="006370DA" w:rsidSect="005D46C2">
          <w:headerReference w:type="default" r:id="rId7"/>
          <w:endnotePr>
            <w:numFmt w:val="upperRoman"/>
          </w:endnotePr>
          <w:pgSz w:w="11907" w:h="16840" w:code="9"/>
          <w:pgMar w:top="1702" w:right="1417" w:bottom="720" w:left="1418" w:header="142" w:footer="708" w:gutter="0"/>
          <w:cols w:space="709"/>
          <w:docGrid w:linePitch="326"/>
        </w:sectPr>
      </w:pPr>
    </w:p>
    <w:p w14:paraId="28D132D1" w14:textId="77777777" w:rsidR="005D46C2" w:rsidRPr="006370DA" w:rsidRDefault="005D46C2" w:rsidP="005D46C2">
      <w:pPr>
        <w:spacing w:after="0" w:line="240" w:lineRule="auto"/>
        <w:jc w:val="center"/>
        <w:rPr>
          <w:rFonts w:ascii="Tahoma" w:eastAsia="Times New Roman" w:hAnsi="Tahoma" w:cs="Tahoma"/>
          <w:b/>
          <w:sz w:val="16"/>
          <w:szCs w:val="16"/>
          <w:lang w:eastAsia="sl-SI"/>
        </w:rPr>
      </w:pPr>
      <w:r w:rsidRPr="006370DA">
        <w:rPr>
          <w:rFonts w:ascii="Tahoma" w:eastAsia="Times New Roman" w:hAnsi="Tahoma" w:cs="Tahoma"/>
          <w:b/>
          <w:sz w:val="16"/>
          <w:szCs w:val="16"/>
          <w:lang w:eastAsia="sl-SI"/>
        </w:rPr>
        <w:lastRenderedPageBreak/>
        <w:t>PRILOGA B K POSEBNIM POGOJEM</w:t>
      </w:r>
    </w:p>
    <w:p w14:paraId="7C9747FA" w14:textId="77777777" w:rsidR="005D46C2" w:rsidRPr="006370DA" w:rsidRDefault="005D46C2" w:rsidP="005D46C2">
      <w:pPr>
        <w:spacing w:after="0" w:line="240" w:lineRule="auto"/>
        <w:jc w:val="center"/>
        <w:rPr>
          <w:rFonts w:ascii="Tahoma" w:eastAsia="Times New Roman" w:hAnsi="Tahoma" w:cs="Tahoma"/>
          <w:b/>
          <w:spacing w:val="24"/>
          <w:sz w:val="16"/>
          <w:szCs w:val="16"/>
          <w:lang w:eastAsia="sl-SI"/>
        </w:rPr>
      </w:pPr>
    </w:p>
    <w:p w14:paraId="52B129AC" w14:textId="77777777" w:rsidR="005D46C2" w:rsidRPr="006370DA" w:rsidRDefault="005D46C2" w:rsidP="005D46C2">
      <w:pPr>
        <w:spacing w:after="0" w:line="240" w:lineRule="auto"/>
        <w:jc w:val="center"/>
        <w:rPr>
          <w:rFonts w:ascii="Tahoma" w:eastAsia="Times New Roman" w:hAnsi="Tahoma" w:cs="Tahoma"/>
          <w:b/>
          <w:sz w:val="16"/>
          <w:szCs w:val="16"/>
          <w:lang w:eastAsia="sl-SI"/>
        </w:rPr>
      </w:pPr>
      <w:r w:rsidRPr="006370DA">
        <w:rPr>
          <w:rFonts w:ascii="Tahoma" w:eastAsia="Times New Roman" w:hAnsi="Tahoma" w:cs="Tahoma"/>
          <w:b/>
          <w:sz w:val="16"/>
          <w:szCs w:val="16"/>
          <w:lang w:eastAsia="sl-SI"/>
        </w:rPr>
        <w:t>IZKLJUČENA TRANSAKCIJA KONČNEGA PREJEMNIKA</w:t>
      </w:r>
    </w:p>
    <w:p w14:paraId="71987C08" w14:textId="77777777" w:rsidR="005D46C2" w:rsidRPr="006370DA" w:rsidRDefault="005D46C2" w:rsidP="005D46C2">
      <w:pPr>
        <w:spacing w:after="0" w:line="240" w:lineRule="auto"/>
        <w:ind w:left="708"/>
        <w:jc w:val="both"/>
        <w:rPr>
          <w:rFonts w:ascii="Tahoma" w:eastAsia="Times New Roman" w:hAnsi="Tahoma" w:cs="Tahoma"/>
          <w:sz w:val="16"/>
          <w:szCs w:val="16"/>
          <w:lang w:eastAsia="sl-SI"/>
        </w:rPr>
      </w:pPr>
    </w:p>
    <w:p w14:paraId="01DB22DD" w14:textId="77777777" w:rsidR="005D46C2" w:rsidRPr="006370DA" w:rsidRDefault="005D46C2" w:rsidP="005D46C2">
      <w:pPr>
        <w:spacing w:after="0" w:line="240" w:lineRule="auto"/>
        <w:jc w:val="both"/>
        <w:rPr>
          <w:rFonts w:ascii="Times New Roman" w:eastAsia="SimSun" w:hAnsi="Times New Roman" w:cs="Times New Roman"/>
          <w:sz w:val="24"/>
          <w:szCs w:val="24"/>
          <w:lang w:val="pl-PL" w:eastAsia="zh-CN" w:bidi="ar-AE"/>
        </w:rPr>
      </w:pPr>
      <w:r w:rsidRPr="006370DA">
        <w:rPr>
          <w:rFonts w:ascii="Tahoma" w:eastAsia="Times New Roman" w:hAnsi="Tahoma" w:cs="Tahoma"/>
          <w:sz w:val="16"/>
          <w:szCs w:val="16"/>
          <w:lang w:eastAsia="sl-SI"/>
        </w:rPr>
        <w:t>Pomeni katerokoli v spodnji tabeli navedeno vozilo namenjeno transportu</w:t>
      </w:r>
      <w:r w:rsidRPr="006370DA">
        <w:rPr>
          <w:rFonts w:ascii="Times New Roman" w:eastAsia="SimSun" w:hAnsi="Times New Roman" w:cs="Times New Roman"/>
          <w:sz w:val="24"/>
          <w:szCs w:val="24"/>
          <w:lang w:val="pl-PL" w:eastAsia="zh-CN" w:bidi="ar-AE"/>
        </w:rPr>
        <w:t>:</w:t>
      </w:r>
    </w:p>
    <w:p w14:paraId="4ED537C0" w14:textId="77777777" w:rsidR="005D46C2" w:rsidRPr="006370DA" w:rsidRDefault="005D46C2" w:rsidP="005D46C2">
      <w:pPr>
        <w:spacing w:after="0" w:line="240" w:lineRule="auto"/>
        <w:jc w:val="both"/>
        <w:rPr>
          <w:rFonts w:ascii="Tahoma" w:eastAsia="Times New Roman" w:hAnsi="Tahoma" w:cs="Tahoma"/>
          <w:sz w:val="16"/>
          <w:szCs w:val="16"/>
          <w:lang w:eastAsia="sl-SI"/>
        </w:rPr>
      </w:pPr>
    </w:p>
    <w:tbl>
      <w:tblPr>
        <w:tblStyle w:val="TableGrid1"/>
        <w:tblW w:w="0" w:type="auto"/>
        <w:tblInd w:w="85" w:type="dxa"/>
        <w:tblLook w:val="04A0" w:firstRow="1" w:lastRow="0" w:firstColumn="1" w:lastColumn="0" w:noHBand="0" w:noVBand="1"/>
      </w:tblPr>
      <w:tblGrid>
        <w:gridCol w:w="2047"/>
        <w:gridCol w:w="6930"/>
      </w:tblGrid>
      <w:tr w:rsidR="005D46C2" w:rsidRPr="006370DA" w14:paraId="33650726" w14:textId="77777777" w:rsidTr="00F77C8F">
        <w:trPr>
          <w:trHeight w:val="591"/>
        </w:trPr>
        <w:tc>
          <w:tcPr>
            <w:tcW w:w="0" w:type="auto"/>
          </w:tcPr>
          <w:p w14:paraId="64C894D2"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 xml:space="preserve">Osebna vozila </w:t>
            </w:r>
          </w:p>
        </w:tc>
        <w:tc>
          <w:tcPr>
            <w:tcW w:w="0" w:type="auto"/>
          </w:tcPr>
          <w:p w14:paraId="7E02257C"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val="pl-PL" w:bidi="ar-AE"/>
              </w:rPr>
              <w:t>Vozila katerih meje pripadajočih neposrednih izpustov CO2 presegajo 115g CO2/km glede na globalno usklajene preskusne postopke za lahka vozila</w:t>
            </w:r>
            <w:r w:rsidRPr="006370DA" w:rsidDel="002128F7">
              <w:rPr>
                <w:rFonts w:ascii="Tahoma" w:hAnsi="Tahoma" w:cs="Tahoma"/>
                <w:sz w:val="16"/>
                <w:szCs w:val="16"/>
                <w:lang w:val="pl-PL" w:bidi="ar-AE"/>
              </w:rPr>
              <w:t xml:space="preserve"> </w:t>
            </w:r>
            <w:r w:rsidRPr="006370DA">
              <w:rPr>
                <w:rFonts w:ascii="Tahoma" w:hAnsi="Tahoma" w:cs="Tahoma"/>
                <w:sz w:val="16"/>
                <w:szCs w:val="16"/>
                <w:lang w:val="pl-PL" w:bidi="ar-AE"/>
              </w:rPr>
              <w:t>(WLTP)</w:t>
            </w:r>
            <w:r w:rsidRPr="006370DA">
              <w:rPr>
                <w:rFonts w:ascii="Tahoma" w:hAnsi="Tahoma" w:cs="Tahoma"/>
                <w:color w:val="000000"/>
                <w:sz w:val="16"/>
                <w:szCs w:val="16"/>
                <w:vertAlign w:val="superscript"/>
                <w:lang w:bidi="ar-AE"/>
              </w:rPr>
              <w:footnoteReference w:id="13"/>
            </w:r>
            <w:r w:rsidRPr="006370DA">
              <w:rPr>
                <w:rFonts w:ascii="Tahoma" w:hAnsi="Tahoma" w:cs="Tahoma"/>
                <w:sz w:val="16"/>
                <w:szCs w:val="16"/>
                <w:lang w:val="pl-PL" w:bidi="ar-AE"/>
              </w:rPr>
              <w:t xml:space="preserve"> po vozilu.</w:t>
            </w:r>
          </w:p>
        </w:tc>
      </w:tr>
      <w:tr w:rsidR="005D46C2" w:rsidRPr="006370DA" w14:paraId="00A2872E" w14:textId="77777777" w:rsidTr="00F77C8F">
        <w:trPr>
          <w:trHeight w:val="687"/>
        </w:trPr>
        <w:tc>
          <w:tcPr>
            <w:tcW w:w="0" w:type="auto"/>
          </w:tcPr>
          <w:p w14:paraId="45D01572" w14:textId="77777777" w:rsidR="005D46C2" w:rsidRPr="006370DA" w:rsidRDefault="005D46C2" w:rsidP="00F77C8F">
            <w:pPr>
              <w:spacing w:before="120" w:after="240"/>
              <w:jc w:val="left"/>
              <w:rPr>
                <w:rFonts w:ascii="Tahoma" w:hAnsi="Tahoma" w:cs="Tahoma"/>
                <w:sz w:val="16"/>
                <w:szCs w:val="16"/>
                <w:lang w:bidi="ar-AE"/>
              </w:rPr>
            </w:pPr>
            <w:r w:rsidRPr="006370DA">
              <w:rPr>
                <w:rFonts w:ascii="Tahoma" w:hAnsi="Tahoma" w:cs="Tahoma"/>
                <w:sz w:val="16"/>
                <w:szCs w:val="16"/>
                <w:lang w:bidi="ar-AE"/>
              </w:rPr>
              <w:t>Tovorna vozila s kesonom, furgon</w:t>
            </w:r>
          </w:p>
        </w:tc>
        <w:tc>
          <w:tcPr>
            <w:tcW w:w="0" w:type="auto"/>
          </w:tcPr>
          <w:p w14:paraId="5AD38BAE"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val="pl-PL" w:bidi="ar-AE"/>
              </w:rPr>
              <w:t>Vozila katerih meje pripadajočih neposrednih izpustov CO2 presegajo 182g CO2/km glede na globalno usklajene preskusne postopke za lahka vozila</w:t>
            </w:r>
            <w:r w:rsidRPr="006370DA" w:rsidDel="002128F7">
              <w:rPr>
                <w:rFonts w:ascii="Tahoma" w:hAnsi="Tahoma" w:cs="Tahoma"/>
                <w:sz w:val="16"/>
                <w:szCs w:val="16"/>
                <w:lang w:val="pl-PL" w:bidi="ar-AE"/>
              </w:rPr>
              <w:t xml:space="preserve"> </w:t>
            </w:r>
            <w:r w:rsidRPr="006370DA">
              <w:rPr>
                <w:rFonts w:ascii="Tahoma" w:hAnsi="Tahoma" w:cs="Tahoma"/>
                <w:sz w:val="16"/>
                <w:szCs w:val="16"/>
                <w:lang w:val="pl-PL" w:bidi="ar-AE"/>
              </w:rPr>
              <w:t>(WLTP)</w:t>
            </w:r>
            <w:r w:rsidRPr="006370DA">
              <w:rPr>
                <w:rFonts w:ascii="Tahoma" w:hAnsi="Tahoma" w:cs="Tahoma"/>
                <w:color w:val="000000"/>
                <w:sz w:val="16"/>
                <w:szCs w:val="16"/>
                <w:vertAlign w:val="superscript"/>
                <w:lang w:bidi="ar-AE"/>
              </w:rPr>
              <w:footnoteReference w:id="14"/>
            </w:r>
            <w:r w:rsidRPr="006370DA">
              <w:rPr>
                <w:rFonts w:ascii="Tahoma" w:hAnsi="Tahoma" w:cs="Tahoma"/>
                <w:sz w:val="16"/>
                <w:szCs w:val="16"/>
                <w:lang w:val="pl-PL" w:bidi="ar-AE"/>
              </w:rPr>
              <w:t xml:space="preserve"> po vozilu.</w:t>
            </w:r>
          </w:p>
        </w:tc>
      </w:tr>
      <w:tr w:rsidR="005D46C2" w:rsidRPr="006370DA" w14:paraId="414E11B5" w14:textId="77777777" w:rsidTr="00F77C8F">
        <w:trPr>
          <w:trHeight w:val="5460"/>
        </w:trPr>
        <w:tc>
          <w:tcPr>
            <w:tcW w:w="0" w:type="auto"/>
            <w:vMerge w:val="restart"/>
          </w:tcPr>
          <w:p w14:paraId="76289193" w14:textId="77777777" w:rsidR="005D46C2" w:rsidRPr="006370DA" w:rsidRDefault="005D46C2" w:rsidP="00F77C8F">
            <w:pPr>
              <w:spacing w:before="120" w:after="240"/>
              <w:jc w:val="left"/>
              <w:rPr>
                <w:rFonts w:ascii="Tahoma" w:hAnsi="Tahoma" w:cs="Tahoma"/>
                <w:sz w:val="16"/>
                <w:szCs w:val="16"/>
                <w:lang w:bidi="ar-AE"/>
              </w:rPr>
            </w:pPr>
            <w:r w:rsidRPr="006370DA">
              <w:rPr>
                <w:rFonts w:ascii="Tahoma" w:hAnsi="Tahoma" w:cs="Tahoma"/>
                <w:sz w:val="16"/>
                <w:szCs w:val="16"/>
                <w:lang w:bidi="ar-AE"/>
              </w:rPr>
              <w:t>Tovornjaki/težka vozila (</w:t>
            </w:r>
            <w:proofErr w:type="spellStart"/>
            <w:r w:rsidRPr="006370DA">
              <w:rPr>
                <w:rFonts w:ascii="Tahoma" w:hAnsi="Tahoma" w:cs="Tahoma"/>
                <w:sz w:val="16"/>
                <w:szCs w:val="16"/>
                <w:lang w:bidi="ar-AE"/>
              </w:rPr>
              <w:t>HDVs</w:t>
            </w:r>
            <w:proofErr w:type="spellEnd"/>
            <w:r w:rsidRPr="006370DA">
              <w:rPr>
                <w:rFonts w:ascii="Tahoma" w:hAnsi="Tahoma" w:cs="Tahoma"/>
                <w:sz w:val="16"/>
                <w:szCs w:val="16"/>
                <w:lang w:bidi="ar-AE"/>
              </w:rPr>
              <w:t>)</w:t>
            </w:r>
          </w:p>
        </w:tc>
        <w:tc>
          <w:tcPr>
            <w:tcW w:w="0" w:type="auto"/>
          </w:tcPr>
          <w:tbl>
            <w:tblPr>
              <w:tblW w:w="0" w:type="auto"/>
              <w:tblInd w:w="285" w:type="dxa"/>
              <w:tblLook w:val="0420" w:firstRow="1" w:lastRow="0" w:firstColumn="0" w:lastColumn="0" w:noHBand="0" w:noVBand="1"/>
            </w:tblPr>
            <w:tblGrid>
              <w:gridCol w:w="2160"/>
              <w:gridCol w:w="1550"/>
              <w:gridCol w:w="2709"/>
            </w:tblGrid>
            <w:tr w:rsidR="005D46C2" w:rsidRPr="006370DA" w14:paraId="1E26423A" w14:textId="77777777" w:rsidTr="00F77C8F">
              <w:trPr>
                <w:trHeight w:val="628"/>
              </w:trPr>
              <w:tc>
                <w:tcPr>
                  <w:tcW w:w="0" w:type="auto"/>
                  <w:tcBorders>
                    <w:top w:val="single" w:sz="4" w:space="0" w:color="auto"/>
                    <w:left w:val="single" w:sz="4" w:space="0" w:color="auto"/>
                    <w:bottom w:val="single" w:sz="4" w:space="0" w:color="auto"/>
                    <w:right w:val="single" w:sz="4" w:space="0" w:color="auto"/>
                  </w:tcBorders>
                  <w:vAlign w:val="center"/>
                  <w:hideMark/>
                </w:tcPr>
                <w:p w14:paraId="0D65B881" w14:textId="77777777" w:rsidR="005D46C2" w:rsidRPr="006370DA" w:rsidRDefault="005D46C2" w:rsidP="00F77C8F">
                  <w:pPr>
                    <w:spacing w:after="240" w:line="240" w:lineRule="auto"/>
                    <w:jc w:val="both"/>
                    <w:rPr>
                      <w:rFonts w:ascii="Tahoma" w:eastAsia="Times New Roman" w:hAnsi="Tahoma" w:cs="Tahoma"/>
                      <w:b/>
                      <w:bCs/>
                      <w:color w:val="000000"/>
                      <w:sz w:val="16"/>
                      <w:szCs w:val="16"/>
                      <w:lang w:eastAsia="zh-CN" w:bidi="ar-AE"/>
                    </w:rPr>
                  </w:pPr>
                  <w:r w:rsidRPr="006370DA">
                    <w:rPr>
                      <w:rFonts w:ascii="Tahoma" w:eastAsia="Times New Roman" w:hAnsi="Tahoma" w:cs="Tahoma"/>
                      <w:b/>
                      <w:bCs/>
                      <w:color w:val="000000"/>
                      <w:sz w:val="16"/>
                      <w:szCs w:val="16"/>
                      <w:lang w:eastAsia="zh-CN" w:bidi="ar-AE"/>
                    </w:rPr>
                    <w:t>Konfiguracija osi in šasije</w:t>
                  </w:r>
                  <w:r w:rsidRPr="006370DA">
                    <w:rPr>
                      <w:rFonts w:ascii="Tahoma" w:eastAsia="Times New Roman" w:hAnsi="Tahoma" w:cs="Tahoma"/>
                      <w:b/>
                      <w:bCs/>
                      <w:color w:val="000000"/>
                      <w:sz w:val="16"/>
                      <w:szCs w:val="16"/>
                      <w:vertAlign w:val="superscript"/>
                      <w:lang w:eastAsia="zh-CN" w:bidi="ar-AE"/>
                    </w:rPr>
                    <w:footnoteReference w:id="15"/>
                  </w:r>
                </w:p>
              </w:tc>
              <w:tc>
                <w:tcPr>
                  <w:tcW w:w="0" w:type="auto"/>
                  <w:tcBorders>
                    <w:top w:val="single" w:sz="4" w:space="0" w:color="auto"/>
                    <w:left w:val="nil"/>
                    <w:bottom w:val="single" w:sz="4" w:space="0" w:color="auto"/>
                    <w:right w:val="single" w:sz="4" w:space="0" w:color="auto"/>
                  </w:tcBorders>
                  <w:vAlign w:val="center"/>
                  <w:hideMark/>
                </w:tcPr>
                <w:p w14:paraId="1263F4DF" w14:textId="77777777" w:rsidR="005D46C2" w:rsidRPr="006370DA" w:rsidRDefault="005D46C2" w:rsidP="00F77C8F">
                  <w:pPr>
                    <w:spacing w:after="240" w:line="240" w:lineRule="auto"/>
                    <w:jc w:val="both"/>
                    <w:rPr>
                      <w:rFonts w:ascii="Tahoma" w:eastAsia="Times New Roman" w:hAnsi="Tahoma" w:cs="Tahoma"/>
                      <w:b/>
                      <w:bCs/>
                      <w:color w:val="000000"/>
                      <w:sz w:val="16"/>
                      <w:szCs w:val="16"/>
                      <w:lang w:eastAsia="zh-CN" w:bidi="ar-AE"/>
                    </w:rPr>
                  </w:pPr>
                  <w:r w:rsidRPr="006370DA">
                    <w:rPr>
                      <w:rFonts w:ascii="Tahoma" w:eastAsia="Times New Roman" w:hAnsi="Tahoma" w:cs="Tahoma"/>
                      <w:b/>
                      <w:bCs/>
                      <w:color w:val="000000"/>
                      <w:sz w:val="16"/>
                      <w:szCs w:val="16"/>
                      <w:lang w:eastAsia="zh-CN" w:bidi="ar-AE"/>
                    </w:rPr>
                    <w:t>Podskupina vozil</w:t>
                  </w:r>
                  <w:r w:rsidRPr="006370DA">
                    <w:rPr>
                      <w:rFonts w:ascii="Tahoma" w:eastAsia="Times New Roman" w:hAnsi="Tahoma" w:cs="Tahoma"/>
                      <w:b/>
                      <w:bCs/>
                      <w:color w:val="000000"/>
                      <w:sz w:val="16"/>
                      <w:szCs w:val="16"/>
                      <w:vertAlign w:val="superscript"/>
                      <w:lang w:eastAsia="zh-CN" w:bidi="ar-AE"/>
                    </w:rPr>
                    <w:footnoteReference w:id="16"/>
                  </w:r>
                </w:p>
              </w:tc>
              <w:tc>
                <w:tcPr>
                  <w:tcW w:w="0" w:type="auto"/>
                  <w:tcBorders>
                    <w:top w:val="single" w:sz="4" w:space="0" w:color="auto"/>
                    <w:left w:val="nil"/>
                    <w:bottom w:val="single" w:sz="4" w:space="0" w:color="auto"/>
                    <w:right w:val="single" w:sz="4" w:space="0" w:color="auto"/>
                  </w:tcBorders>
                  <w:vAlign w:val="center"/>
                  <w:hideMark/>
                </w:tcPr>
                <w:p w14:paraId="1FB5D7D8" w14:textId="77777777" w:rsidR="005D46C2" w:rsidRPr="006370DA" w:rsidRDefault="005D46C2" w:rsidP="00F77C8F">
                  <w:pPr>
                    <w:spacing w:after="240" w:line="240" w:lineRule="auto"/>
                    <w:jc w:val="both"/>
                    <w:rPr>
                      <w:rFonts w:ascii="Tahoma" w:eastAsia="Times New Roman" w:hAnsi="Tahoma" w:cs="Tahoma"/>
                      <w:b/>
                      <w:bCs/>
                      <w:color w:val="000000"/>
                      <w:sz w:val="16"/>
                      <w:szCs w:val="16"/>
                      <w:lang w:eastAsia="zh-CN" w:bidi="ar-AE"/>
                    </w:rPr>
                  </w:pPr>
                  <w:r w:rsidRPr="006370DA">
                    <w:rPr>
                      <w:rFonts w:ascii="Tahoma" w:eastAsia="Times New Roman" w:hAnsi="Tahoma" w:cs="Tahoma"/>
                      <w:b/>
                      <w:bCs/>
                      <w:color w:val="000000"/>
                      <w:sz w:val="16"/>
                      <w:szCs w:val="16"/>
                      <w:lang w:eastAsia="zh-CN" w:bidi="ar-AE"/>
                    </w:rPr>
                    <w:t xml:space="preserve">Referenčna vrednost nad gCO2 / t-km </w:t>
                  </w:r>
                </w:p>
              </w:tc>
            </w:tr>
            <w:tr w:rsidR="005D46C2" w:rsidRPr="006370DA" w14:paraId="3B434B10" w14:textId="77777777" w:rsidTr="00F77C8F">
              <w:trPr>
                <w:trHeight w:val="280"/>
              </w:trPr>
              <w:tc>
                <w:tcPr>
                  <w:tcW w:w="0" w:type="auto"/>
                  <w:vMerge w:val="restart"/>
                  <w:tcBorders>
                    <w:top w:val="nil"/>
                    <w:left w:val="single" w:sz="4" w:space="0" w:color="auto"/>
                    <w:bottom w:val="single" w:sz="4" w:space="0" w:color="auto"/>
                    <w:right w:val="single" w:sz="4" w:space="0" w:color="auto"/>
                  </w:tcBorders>
                  <w:vAlign w:val="center"/>
                  <w:hideMark/>
                </w:tcPr>
                <w:p w14:paraId="3CC76CDC"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 xml:space="preserve">Tovornjaki, 4x2, GVW &gt; 16t </w:t>
                  </w:r>
                </w:p>
              </w:tc>
              <w:tc>
                <w:tcPr>
                  <w:tcW w:w="0" w:type="auto"/>
                  <w:tcBorders>
                    <w:top w:val="nil"/>
                    <w:left w:val="nil"/>
                    <w:bottom w:val="single" w:sz="4" w:space="0" w:color="auto"/>
                    <w:right w:val="single" w:sz="4" w:space="0" w:color="auto"/>
                  </w:tcBorders>
                  <w:vAlign w:val="center"/>
                  <w:hideMark/>
                </w:tcPr>
                <w:p w14:paraId="49A7F9D4"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4-UD</w:t>
                  </w:r>
                </w:p>
              </w:tc>
              <w:tc>
                <w:tcPr>
                  <w:tcW w:w="0" w:type="auto"/>
                  <w:tcBorders>
                    <w:top w:val="nil"/>
                    <w:left w:val="nil"/>
                    <w:bottom w:val="single" w:sz="4" w:space="0" w:color="auto"/>
                    <w:right w:val="single" w:sz="4" w:space="0" w:color="auto"/>
                  </w:tcBorders>
                  <w:vAlign w:val="center"/>
                  <w:hideMark/>
                </w:tcPr>
                <w:p w14:paraId="4C2825E9"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307.23</w:t>
                  </w:r>
                </w:p>
              </w:tc>
            </w:tr>
            <w:tr w:rsidR="005D46C2" w:rsidRPr="006370DA" w14:paraId="0F2A2735" w14:textId="77777777" w:rsidTr="00F77C8F">
              <w:trPr>
                <w:trHeight w:val="280"/>
              </w:trPr>
              <w:tc>
                <w:tcPr>
                  <w:tcW w:w="0" w:type="auto"/>
                  <w:vMerge/>
                  <w:tcBorders>
                    <w:top w:val="nil"/>
                    <w:left w:val="single" w:sz="4" w:space="0" w:color="auto"/>
                    <w:bottom w:val="single" w:sz="4" w:space="0" w:color="auto"/>
                    <w:right w:val="single" w:sz="4" w:space="0" w:color="auto"/>
                  </w:tcBorders>
                  <w:vAlign w:val="center"/>
                  <w:hideMark/>
                </w:tcPr>
                <w:p w14:paraId="1FA3827A"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p>
              </w:tc>
              <w:tc>
                <w:tcPr>
                  <w:tcW w:w="0" w:type="auto"/>
                  <w:tcBorders>
                    <w:top w:val="nil"/>
                    <w:left w:val="nil"/>
                    <w:bottom w:val="single" w:sz="4" w:space="0" w:color="auto"/>
                    <w:right w:val="single" w:sz="4" w:space="0" w:color="auto"/>
                  </w:tcBorders>
                  <w:vAlign w:val="center"/>
                  <w:hideMark/>
                </w:tcPr>
                <w:p w14:paraId="5ED137BE"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4-RD</w:t>
                  </w:r>
                </w:p>
              </w:tc>
              <w:tc>
                <w:tcPr>
                  <w:tcW w:w="0" w:type="auto"/>
                  <w:tcBorders>
                    <w:top w:val="nil"/>
                    <w:left w:val="nil"/>
                    <w:bottom w:val="single" w:sz="4" w:space="0" w:color="auto"/>
                    <w:right w:val="single" w:sz="4" w:space="0" w:color="auto"/>
                  </w:tcBorders>
                  <w:vAlign w:val="center"/>
                  <w:hideMark/>
                </w:tcPr>
                <w:p w14:paraId="1B54616C"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197.16</w:t>
                  </w:r>
                </w:p>
              </w:tc>
            </w:tr>
            <w:tr w:rsidR="005D46C2" w:rsidRPr="006370DA" w14:paraId="6D0E8D2E" w14:textId="77777777" w:rsidTr="00F77C8F">
              <w:trPr>
                <w:trHeight w:val="280"/>
              </w:trPr>
              <w:tc>
                <w:tcPr>
                  <w:tcW w:w="0" w:type="auto"/>
                  <w:vMerge/>
                  <w:tcBorders>
                    <w:top w:val="nil"/>
                    <w:left w:val="single" w:sz="4" w:space="0" w:color="auto"/>
                    <w:bottom w:val="single" w:sz="4" w:space="0" w:color="auto"/>
                    <w:right w:val="single" w:sz="4" w:space="0" w:color="auto"/>
                  </w:tcBorders>
                  <w:vAlign w:val="center"/>
                  <w:hideMark/>
                </w:tcPr>
                <w:p w14:paraId="5F2ECDDB"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p>
              </w:tc>
              <w:tc>
                <w:tcPr>
                  <w:tcW w:w="0" w:type="auto"/>
                  <w:tcBorders>
                    <w:top w:val="nil"/>
                    <w:left w:val="nil"/>
                    <w:bottom w:val="single" w:sz="4" w:space="0" w:color="auto"/>
                    <w:right w:val="single" w:sz="4" w:space="0" w:color="auto"/>
                  </w:tcBorders>
                  <w:vAlign w:val="center"/>
                  <w:hideMark/>
                </w:tcPr>
                <w:p w14:paraId="219C2DD7"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4-LH</w:t>
                  </w:r>
                </w:p>
              </w:tc>
              <w:tc>
                <w:tcPr>
                  <w:tcW w:w="0" w:type="auto"/>
                  <w:tcBorders>
                    <w:top w:val="nil"/>
                    <w:left w:val="nil"/>
                    <w:bottom w:val="single" w:sz="4" w:space="0" w:color="auto"/>
                    <w:right w:val="single" w:sz="4" w:space="0" w:color="auto"/>
                  </w:tcBorders>
                  <w:vAlign w:val="center"/>
                  <w:hideMark/>
                </w:tcPr>
                <w:p w14:paraId="7F975E6E"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105.96</w:t>
                  </w:r>
                </w:p>
              </w:tc>
            </w:tr>
            <w:tr w:rsidR="005D46C2" w:rsidRPr="006370DA" w14:paraId="086CC3EA" w14:textId="77777777" w:rsidTr="00F77C8F">
              <w:trPr>
                <w:trHeight w:val="280"/>
              </w:trPr>
              <w:tc>
                <w:tcPr>
                  <w:tcW w:w="0" w:type="auto"/>
                  <w:vMerge w:val="restart"/>
                  <w:tcBorders>
                    <w:top w:val="nil"/>
                    <w:left w:val="single" w:sz="4" w:space="0" w:color="auto"/>
                    <w:bottom w:val="single" w:sz="4" w:space="0" w:color="auto"/>
                    <w:right w:val="single" w:sz="4" w:space="0" w:color="auto"/>
                  </w:tcBorders>
                  <w:vAlign w:val="center"/>
                  <w:hideMark/>
                </w:tcPr>
                <w:p w14:paraId="624B1B37"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Vlečna vozila</w:t>
                  </w:r>
                  <w:r w:rsidRPr="006370DA">
                    <w:rPr>
                      <w:rFonts w:ascii="Tahoma" w:eastAsia="Times New Roman" w:hAnsi="Tahoma" w:cs="Tahoma"/>
                      <w:color w:val="000000"/>
                      <w:sz w:val="16"/>
                      <w:szCs w:val="16"/>
                      <w:vertAlign w:val="superscript"/>
                      <w:lang w:eastAsia="zh-CN" w:bidi="ar-AE"/>
                    </w:rPr>
                    <w:footnoteReference w:id="17"/>
                  </w:r>
                  <w:r w:rsidRPr="006370DA">
                    <w:rPr>
                      <w:rFonts w:ascii="Tahoma" w:eastAsia="Times New Roman" w:hAnsi="Tahoma" w:cs="Tahoma"/>
                      <w:color w:val="000000"/>
                      <w:sz w:val="16"/>
                      <w:szCs w:val="16"/>
                      <w:lang w:eastAsia="zh-CN" w:bidi="ar-AE"/>
                    </w:rPr>
                    <w:t xml:space="preserve">, 4x2, GVW &gt; 16t </w:t>
                  </w:r>
                </w:p>
              </w:tc>
              <w:tc>
                <w:tcPr>
                  <w:tcW w:w="0" w:type="auto"/>
                  <w:tcBorders>
                    <w:top w:val="nil"/>
                    <w:left w:val="nil"/>
                    <w:bottom w:val="single" w:sz="4" w:space="0" w:color="auto"/>
                    <w:right w:val="single" w:sz="4" w:space="0" w:color="auto"/>
                  </w:tcBorders>
                  <w:vAlign w:val="center"/>
                  <w:hideMark/>
                </w:tcPr>
                <w:p w14:paraId="765FF068"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5-RD</w:t>
                  </w:r>
                </w:p>
              </w:tc>
              <w:tc>
                <w:tcPr>
                  <w:tcW w:w="0" w:type="auto"/>
                  <w:tcBorders>
                    <w:top w:val="nil"/>
                    <w:left w:val="nil"/>
                    <w:bottom w:val="single" w:sz="4" w:space="0" w:color="auto"/>
                    <w:right w:val="single" w:sz="4" w:space="0" w:color="auto"/>
                  </w:tcBorders>
                  <w:vAlign w:val="center"/>
                  <w:hideMark/>
                </w:tcPr>
                <w:p w14:paraId="5996C768"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84</w:t>
                  </w:r>
                </w:p>
              </w:tc>
            </w:tr>
            <w:tr w:rsidR="005D46C2" w:rsidRPr="006370DA" w14:paraId="0176F544" w14:textId="77777777" w:rsidTr="00F77C8F">
              <w:trPr>
                <w:trHeight w:val="280"/>
              </w:trPr>
              <w:tc>
                <w:tcPr>
                  <w:tcW w:w="0" w:type="auto"/>
                  <w:vMerge/>
                  <w:tcBorders>
                    <w:top w:val="nil"/>
                    <w:left w:val="single" w:sz="4" w:space="0" w:color="auto"/>
                    <w:bottom w:val="single" w:sz="4" w:space="0" w:color="auto"/>
                    <w:right w:val="single" w:sz="4" w:space="0" w:color="auto"/>
                  </w:tcBorders>
                  <w:vAlign w:val="center"/>
                  <w:hideMark/>
                </w:tcPr>
                <w:p w14:paraId="4FA4A766"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p>
              </w:tc>
              <w:tc>
                <w:tcPr>
                  <w:tcW w:w="0" w:type="auto"/>
                  <w:tcBorders>
                    <w:top w:val="nil"/>
                    <w:left w:val="nil"/>
                    <w:bottom w:val="single" w:sz="4" w:space="0" w:color="auto"/>
                    <w:right w:val="single" w:sz="4" w:space="0" w:color="auto"/>
                  </w:tcBorders>
                  <w:vAlign w:val="center"/>
                  <w:hideMark/>
                </w:tcPr>
                <w:p w14:paraId="7AB6C127"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5-LH</w:t>
                  </w:r>
                </w:p>
              </w:tc>
              <w:tc>
                <w:tcPr>
                  <w:tcW w:w="0" w:type="auto"/>
                  <w:tcBorders>
                    <w:top w:val="nil"/>
                    <w:left w:val="nil"/>
                    <w:bottom w:val="single" w:sz="4" w:space="0" w:color="auto"/>
                    <w:right w:val="single" w:sz="4" w:space="0" w:color="auto"/>
                  </w:tcBorders>
                  <w:vAlign w:val="center"/>
                  <w:hideMark/>
                </w:tcPr>
                <w:p w14:paraId="501CF1D9"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56.6</w:t>
                  </w:r>
                </w:p>
              </w:tc>
            </w:tr>
            <w:tr w:rsidR="005D46C2" w:rsidRPr="006370DA" w14:paraId="68E06590" w14:textId="77777777" w:rsidTr="00F77C8F">
              <w:trPr>
                <w:trHeight w:val="280"/>
              </w:trPr>
              <w:tc>
                <w:tcPr>
                  <w:tcW w:w="0" w:type="auto"/>
                  <w:vMerge w:val="restart"/>
                  <w:tcBorders>
                    <w:top w:val="nil"/>
                    <w:left w:val="single" w:sz="4" w:space="0" w:color="auto"/>
                    <w:bottom w:val="single" w:sz="4" w:space="0" w:color="auto"/>
                    <w:right w:val="single" w:sz="4" w:space="0" w:color="auto"/>
                  </w:tcBorders>
                  <w:vAlign w:val="center"/>
                  <w:hideMark/>
                </w:tcPr>
                <w:p w14:paraId="4BABE69A"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 xml:space="preserve">Tovornjaki, 6x2 </w:t>
                  </w:r>
                </w:p>
              </w:tc>
              <w:tc>
                <w:tcPr>
                  <w:tcW w:w="0" w:type="auto"/>
                  <w:tcBorders>
                    <w:top w:val="nil"/>
                    <w:left w:val="nil"/>
                    <w:bottom w:val="single" w:sz="4" w:space="0" w:color="auto"/>
                    <w:right w:val="single" w:sz="4" w:space="0" w:color="auto"/>
                  </w:tcBorders>
                  <w:vAlign w:val="center"/>
                  <w:hideMark/>
                </w:tcPr>
                <w:p w14:paraId="1CBA84EE"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9-RD</w:t>
                  </w:r>
                </w:p>
              </w:tc>
              <w:tc>
                <w:tcPr>
                  <w:tcW w:w="0" w:type="auto"/>
                  <w:tcBorders>
                    <w:top w:val="nil"/>
                    <w:left w:val="nil"/>
                    <w:bottom w:val="single" w:sz="4" w:space="0" w:color="auto"/>
                    <w:right w:val="single" w:sz="4" w:space="0" w:color="auto"/>
                  </w:tcBorders>
                  <w:vAlign w:val="center"/>
                  <w:hideMark/>
                </w:tcPr>
                <w:p w14:paraId="3A8A5B61"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110.98</w:t>
                  </w:r>
                </w:p>
              </w:tc>
            </w:tr>
            <w:tr w:rsidR="005D46C2" w:rsidRPr="006370DA" w14:paraId="670AFE7A" w14:textId="77777777" w:rsidTr="00F77C8F">
              <w:trPr>
                <w:trHeight w:val="280"/>
              </w:trPr>
              <w:tc>
                <w:tcPr>
                  <w:tcW w:w="0" w:type="auto"/>
                  <w:vMerge/>
                  <w:tcBorders>
                    <w:top w:val="nil"/>
                    <w:left w:val="single" w:sz="4" w:space="0" w:color="auto"/>
                    <w:bottom w:val="single" w:sz="4" w:space="0" w:color="auto"/>
                    <w:right w:val="single" w:sz="4" w:space="0" w:color="auto"/>
                  </w:tcBorders>
                  <w:vAlign w:val="center"/>
                  <w:hideMark/>
                </w:tcPr>
                <w:p w14:paraId="03A5308A"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p>
              </w:tc>
              <w:tc>
                <w:tcPr>
                  <w:tcW w:w="0" w:type="auto"/>
                  <w:tcBorders>
                    <w:top w:val="nil"/>
                    <w:left w:val="nil"/>
                    <w:bottom w:val="single" w:sz="4" w:space="0" w:color="auto"/>
                    <w:right w:val="single" w:sz="4" w:space="0" w:color="auto"/>
                  </w:tcBorders>
                  <w:vAlign w:val="center"/>
                  <w:hideMark/>
                </w:tcPr>
                <w:p w14:paraId="7343CED5"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9-LH</w:t>
                  </w:r>
                </w:p>
              </w:tc>
              <w:tc>
                <w:tcPr>
                  <w:tcW w:w="0" w:type="auto"/>
                  <w:tcBorders>
                    <w:top w:val="nil"/>
                    <w:left w:val="nil"/>
                    <w:bottom w:val="single" w:sz="4" w:space="0" w:color="auto"/>
                    <w:right w:val="single" w:sz="4" w:space="0" w:color="auto"/>
                  </w:tcBorders>
                  <w:vAlign w:val="center"/>
                  <w:hideMark/>
                </w:tcPr>
                <w:p w14:paraId="0B62C422"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65.16</w:t>
                  </w:r>
                </w:p>
              </w:tc>
            </w:tr>
            <w:tr w:rsidR="005D46C2" w:rsidRPr="006370DA" w14:paraId="7A6E5221" w14:textId="77777777" w:rsidTr="00F77C8F">
              <w:trPr>
                <w:trHeight w:val="280"/>
              </w:trPr>
              <w:tc>
                <w:tcPr>
                  <w:tcW w:w="0" w:type="auto"/>
                  <w:vMerge w:val="restart"/>
                  <w:tcBorders>
                    <w:top w:val="nil"/>
                    <w:left w:val="single" w:sz="4" w:space="0" w:color="auto"/>
                    <w:bottom w:val="single" w:sz="4" w:space="0" w:color="auto"/>
                    <w:right w:val="single" w:sz="4" w:space="0" w:color="auto"/>
                  </w:tcBorders>
                  <w:vAlign w:val="center"/>
                  <w:hideMark/>
                </w:tcPr>
                <w:p w14:paraId="2BD17C04"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 xml:space="preserve">Vlečna vozila, 6x2 </w:t>
                  </w:r>
                </w:p>
              </w:tc>
              <w:tc>
                <w:tcPr>
                  <w:tcW w:w="0" w:type="auto"/>
                  <w:tcBorders>
                    <w:top w:val="nil"/>
                    <w:left w:val="nil"/>
                    <w:bottom w:val="single" w:sz="4" w:space="0" w:color="auto"/>
                    <w:right w:val="single" w:sz="4" w:space="0" w:color="auto"/>
                  </w:tcBorders>
                  <w:vAlign w:val="center"/>
                  <w:hideMark/>
                </w:tcPr>
                <w:p w14:paraId="1E8F7C4C"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10-RD</w:t>
                  </w:r>
                </w:p>
              </w:tc>
              <w:tc>
                <w:tcPr>
                  <w:tcW w:w="0" w:type="auto"/>
                  <w:tcBorders>
                    <w:top w:val="nil"/>
                    <w:left w:val="nil"/>
                    <w:bottom w:val="single" w:sz="4" w:space="0" w:color="auto"/>
                    <w:right w:val="single" w:sz="4" w:space="0" w:color="auto"/>
                  </w:tcBorders>
                  <w:vAlign w:val="center"/>
                  <w:hideMark/>
                </w:tcPr>
                <w:p w14:paraId="01A03718"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83.26</w:t>
                  </w:r>
                </w:p>
              </w:tc>
            </w:tr>
            <w:tr w:rsidR="005D46C2" w:rsidRPr="006370DA" w14:paraId="405AF36D" w14:textId="77777777" w:rsidTr="00F77C8F">
              <w:trPr>
                <w:trHeight w:val="280"/>
              </w:trPr>
              <w:tc>
                <w:tcPr>
                  <w:tcW w:w="0" w:type="auto"/>
                  <w:vMerge/>
                  <w:tcBorders>
                    <w:top w:val="nil"/>
                    <w:left w:val="single" w:sz="4" w:space="0" w:color="auto"/>
                    <w:bottom w:val="single" w:sz="4" w:space="0" w:color="auto"/>
                    <w:right w:val="single" w:sz="4" w:space="0" w:color="auto"/>
                  </w:tcBorders>
                  <w:vAlign w:val="center"/>
                  <w:hideMark/>
                </w:tcPr>
                <w:p w14:paraId="7551C7F4"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p>
              </w:tc>
              <w:tc>
                <w:tcPr>
                  <w:tcW w:w="0" w:type="auto"/>
                  <w:tcBorders>
                    <w:top w:val="nil"/>
                    <w:left w:val="nil"/>
                    <w:bottom w:val="single" w:sz="4" w:space="0" w:color="auto"/>
                    <w:right w:val="single" w:sz="4" w:space="0" w:color="auto"/>
                  </w:tcBorders>
                  <w:vAlign w:val="center"/>
                  <w:hideMark/>
                </w:tcPr>
                <w:p w14:paraId="5D70CCB5"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10-LH</w:t>
                  </w:r>
                </w:p>
              </w:tc>
              <w:tc>
                <w:tcPr>
                  <w:tcW w:w="0" w:type="auto"/>
                  <w:tcBorders>
                    <w:top w:val="nil"/>
                    <w:left w:val="nil"/>
                    <w:bottom w:val="single" w:sz="4" w:space="0" w:color="auto"/>
                    <w:right w:val="single" w:sz="4" w:space="0" w:color="auto"/>
                  </w:tcBorders>
                  <w:vAlign w:val="center"/>
                  <w:hideMark/>
                </w:tcPr>
                <w:p w14:paraId="4B6A1957" w14:textId="77777777" w:rsidR="005D46C2" w:rsidRPr="006370DA" w:rsidRDefault="005D46C2" w:rsidP="00F77C8F">
                  <w:pPr>
                    <w:spacing w:after="240" w:line="240" w:lineRule="auto"/>
                    <w:jc w:val="both"/>
                    <w:rPr>
                      <w:rFonts w:ascii="Tahoma" w:eastAsia="Times New Roman" w:hAnsi="Tahoma" w:cs="Tahoma"/>
                      <w:color w:val="000000"/>
                      <w:sz w:val="16"/>
                      <w:szCs w:val="16"/>
                      <w:lang w:eastAsia="zh-CN" w:bidi="ar-AE"/>
                    </w:rPr>
                  </w:pPr>
                  <w:r w:rsidRPr="006370DA">
                    <w:rPr>
                      <w:rFonts w:ascii="Tahoma" w:eastAsia="Times New Roman" w:hAnsi="Tahoma" w:cs="Tahoma"/>
                      <w:color w:val="000000"/>
                      <w:sz w:val="16"/>
                      <w:szCs w:val="16"/>
                      <w:lang w:eastAsia="zh-CN" w:bidi="ar-AE"/>
                    </w:rPr>
                    <w:t>58.26</w:t>
                  </w:r>
                </w:p>
              </w:tc>
            </w:tr>
          </w:tbl>
          <w:p w14:paraId="7C3967BF"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Tovornjaki (vključno s tistimi, ki se uvrščajo v podskupino težkih vozil), z izjemo tistih, ki izpolnjujejo (i) standard "EURO VI" ali višji in se ne uvrščajo v eno od skupin konfiguracij s 4-osnimi v zgornji razpredelnici (ii) v primeru tovornjakov za zbiranje odpadkov standard "EURO V" ali višji.</w:t>
            </w:r>
          </w:p>
        </w:tc>
      </w:tr>
      <w:tr w:rsidR="005D46C2" w:rsidRPr="006370DA" w14:paraId="794CFFBD" w14:textId="77777777" w:rsidTr="00F77C8F">
        <w:trPr>
          <w:trHeight w:val="39"/>
        </w:trPr>
        <w:tc>
          <w:tcPr>
            <w:tcW w:w="0" w:type="auto"/>
            <w:vMerge/>
          </w:tcPr>
          <w:p w14:paraId="6B0A2864" w14:textId="77777777" w:rsidR="005D46C2" w:rsidRPr="006370DA" w:rsidRDefault="005D46C2" w:rsidP="00F77C8F">
            <w:pPr>
              <w:spacing w:before="120" w:after="240"/>
              <w:rPr>
                <w:rFonts w:ascii="Tahoma" w:hAnsi="Tahoma" w:cs="Tahoma"/>
                <w:sz w:val="16"/>
                <w:szCs w:val="16"/>
                <w:lang w:bidi="ar-AE"/>
              </w:rPr>
            </w:pPr>
          </w:p>
        </w:tc>
        <w:tc>
          <w:tcPr>
            <w:tcW w:w="0" w:type="auto"/>
          </w:tcPr>
          <w:p w14:paraId="7FBC63C9"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Vozila namenjena prevozu fosilnih goriv ali mešanici fosilnih in alternativnih goriv.</w:t>
            </w:r>
          </w:p>
        </w:tc>
      </w:tr>
      <w:tr w:rsidR="005D46C2" w:rsidRPr="006370DA" w14:paraId="7BE17FA4" w14:textId="77777777" w:rsidTr="00F77C8F">
        <w:trPr>
          <w:trHeight w:val="533"/>
        </w:trPr>
        <w:tc>
          <w:tcPr>
            <w:tcW w:w="0" w:type="auto"/>
          </w:tcPr>
          <w:p w14:paraId="19FC0141"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 xml:space="preserve">Kategorija vozil </w:t>
            </w:r>
            <w:r w:rsidRPr="006370DA">
              <w:rPr>
                <w:rFonts w:ascii="Tahoma" w:hAnsi="Tahoma" w:cs="Tahoma"/>
                <w:sz w:val="16"/>
                <w:szCs w:val="16"/>
                <w:lang w:val="pl-PL" w:bidi="ar-AE"/>
              </w:rPr>
              <w:t>L</w:t>
            </w:r>
            <w:r w:rsidRPr="006370DA">
              <w:rPr>
                <w:rFonts w:ascii="Tahoma" w:hAnsi="Tahoma" w:cs="Tahoma"/>
                <w:sz w:val="16"/>
                <w:szCs w:val="16"/>
                <w:lang w:bidi="ar-AE"/>
              </w:rPr>
              <w:t xml:space="preserve"> </w:t>
            </w:r>
            <w:r w:rsidRPr="006370DA">
              <w:rPr>
                <w:rFonts w:ascii="Tahoma" w:hAnsi="Tahoma" w:cs="Tahoma"/>
                <w:sz w:val="16"/>
                <w:szCs w:val="16"/>
                <w:lang w:val="pl-PL" w:bidi="ar-AE"/>
              </w:rPr>
              <w:t>(</w:t>
            </w:r>
            <w:proofErr w:type="spellStart"/>
            <w:r w:rsidRPr="006370DA">
              <w:rPr>
                <w:rFonts w:ascii="Tahoma" w:hAnsi="Tahoma" w:cs="Tahoma"/>
                <w:sz w:val="16"/>
                <w:szCs w:val="16"/>
                <w:lang w:bidi="ar-AE"/>
              </w:rPr>
              <w:t>dvo</w:t>
            </w:r>
            <w:proofErr w:type="spellEnd"/>
            <w:r w:rsidRPr="006370DA">
              <w:rPr>
                <w:rFonts w:ascii="Tahoma" w:hAnsi="Tahoma" w:cs="Tahoma"/>
                <w:sz w:val="16"/>
                <w:szCs w:val="16"/>
                <w:lang w:bidi="ar-AE"/>
              </w:rPr>
              <w:t>-, tri- in 4-kolesniki</w:t>
            </w:r>
            <w:r w:rsidRPr="006370DA">
              <w:rPr>
                <w:rFonts w:ascii="Tahoma" w:hAnsi="Tahoma" w:cs="Tahoma"/>
                <w:sz w:val="16"/>
                <w:szCs w:val="16"/>
                <w:lang w:val="pl-PL" w:bidi="ar-AE"/>
              </w:rPr>
              <w:t>)</w:t>
            </w:r>
          </w:p>
        </w:tc>
        <w:tc>
          <w:tcPr>
            <w:tcW w:w="0" w:type="auto"/>
          </w:tcPr>
          <w:p w14:paraId="73C8DD5F"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Vse vrste takšnih vozil z izjemo vozil z ničelnimi neposrednimi emisijami</w:t>
            </w:r>
            <w:r w:rsidRPr="006370DA">
              <w:rPr>
                <w:rFonts w:ascii="Tahoma" w:hAnsi="Tahoma" w:cs="Tahoma"/>
                <w:sz w:val="16"/>
                <w:szCs w:val="16"/>
                <w:lang w:val="pl-PL" w:bidi="ar-AE"/>
              </w:rPr>
              <w:t>.</w:t>
            </w:r>
          </w:p>
        </w:tc>
      </w:tr>
      <w:tr w:rsidR="005D46C2" w:rsidRPr="006370DA" w14:paraId="0D4B2368" w14:textId="77777777" w:rsidTr="00F77C8F">
        <w:trPr>
          <w:trHeight w:val="668"/>
        </w:trPr>
        <w:tc>
          <w:tcPr>
            <w:tcW w:w="0" w:type="auto"/>
            <w:vMerge w:val="restart"/>
          </w:tcPr>
          <w:p w14:paraId="14EAB9C8"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Javni transport</w:t>
            </w:r>
            <w:r w:rsidRPr="006370DA">
              <w:rPr>
                <w:rFonts w:ascii="Tahoma" w:hAnsi="Tahoma" w:cs="Tahoma"/>
                <w:sz w:val="16"/>
                <w:szCs w:val="16"/>
                <w:lang w:val="pl-PL" w:bidi="ar-AE"/>
              </w:rPr>
              <w:t xml:space="preserve">: </w:t>
            </w:r>
            <w:r w:rsidRPr="006370DA">
              <w:rPr>
                <w:rFonts w:ascii="Tahoma" w:hAnsi="Tahoma" w:cs="Tahoma"/>
                <w:sz w:val="16"/>
                <w:szCs w:val="16"/>
                <w:lang w:bidi="ar-AE"/>
              </w:rPr>
              <w:t xml:space="preserve">tramvaji, podzemni vlaki in avtobusi </w:t>
            </w:r>
            <w:r w:rsidRPr="006370DA">
              <w:rPr>
                <w:rFonts w:ascii="Tahoma" w:hAnsi="Tahoma" w:cs="Tahoma"/>
                <w:sz w:val="16"/>
                <w:szCs w:val="16"/>
                <w:lang w:val="pl-PL" w:bidi="ar-AE"/>
              </w:rPr>
              <w:t>(</w:t>
            </w:r>
            <w:r w:rsidRPr="006370DA">
              <w:rPr>
                <w:rFonts w:ascii="Tahoma" w:hAnsi="Tahoma" w:cs="Tahoma"/>
                <w:sz w:val="16"/>
                <w:szCs w:val="16"/>
                <w:lang w:bidi="ar-AE"/>
              </w:rPr>
              <w:t>mestni ali medmestni</w:t>
            </w:r>
            <w:r w:rsidRPr="006370DA">
              <w:rPr>
                <w:rFonts w:ascii="Tahoma" w:hAnsi="Tahoma" w:cs="Tahoma"/>
                <w:sz w:val="16"/>
                <w:szCs w:val="16"/>
                <w:lang w:val="pl-PL" w:bidi="ar-AE"/>
              </w:rPr>
              <w:t>)</w:t>
            </w:r>
          </w:p>
        </w:tc>
        <w:tc>
          <w:tcPr>
            <w:tcW w:w="0" w:type="auto"/>
          </w:tcPr>
          <w:p w14:paraId="0BE5E33C"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Vse premičnine z izjemo premičnin z ničelnimi neposrednimi emisijami</w:t>
            </w:r>
            <w:r w:rsidRPr="006370DA">
              <w:rPr>
                <w:rFonts w:ascii="Tahoma" w:hAnsi="Tahoma" w:cs="Tahoma"/>
                <w:sz w:val="16"/>
                <w:szCs w:val="16"/>
                <w:lang w:val="pl-PL" w:bidi="ar-AE"/>
              </w:rPr>
              <w:t xml:space="preserve"> (</w:t>
            </w:r>
            <w:r w:rsidRPr="006370DA">
              <w:rPr>
                <w:rFonts w:ascii="Tahoma" w:hAnsi="Tahoma" w:cs="Tahoma"/>
                <w:sz w:val="16"/>
                <w:szCs w:val="16"/>
                <w:lang w:bidi="ar-AE"/>
              </w:rPr>
              <w:t>tramvaji, podzemni vlaki, avtobusi</w:t>
            </w:r>
            <w:r w:rsidRPr="006370DA">
              <w:rPr>
                <w:rFonts w:ascii="Tahoma" w:hAnsi="Tahoma" w:cs="Tahoma"/>
                <w:sz w:val="16"/>
                <w:szCs w:val="16"/>
                <w:lang w:val="pl-PL" w:bidi="ar-AE"/>
              </w:rPr>
              <w:t xml:space="preserve">) </w:t>
            </w:r>
            <w:r w:rsidRPr="006370DA">
              <w:rPr>
                <w:rFonts w:ascii="Tahoma" w:hAnsi="Tahoma" w:cs="Tahoma"/>
                <w:sz w:val="16"/>
                <w:szCs w:val="16"/>
                <w:lang w:bidi="ar-AE"/>
              </w:rPr>
              <w:t>za mestne in primestne storitve javnega prometa</w:t>
            </w:r>
            <w:r w:rsidRPr="006370DA">
              <w:rPr>
                <w:rFonts w:ascii="Tahoma" w:hAnsi="Tahoma" w:cs="Tahoma"/>
                <w:sz w:val="16"/>
                <w:szCs w:val="16"/>
                <w:lang w:val="pl-PL" w:bidi="ar-AE"/>
              </w:rPr>
              <w:t>.</w:t>
            </w:r>
          </w:p>
        </w:tc>
      </w:tr>
      <w:tr w:rsidR="005D46C2" w:rsidRPr="006370DA" w14:paraId="736D57C9" w14:textId="77777777" w:rsidTr="00F77C8F">
        <w:trPr>
          <w:trHeight w:val="583"/>
        </w:trPr>
        <w:tc>
          <w:tcPr>
            <w:tcW w:w="0" w:type="auto"/>
            <w:vMerge/>
          </w:tcPr>
          <w:p w14:paraId="1699FF83" w14:textId="77777777" w:rsidR="005D46C2" w:rsidRPr="006370DA" w:rsidRDefault="005D46C2" w:rsidP="00F77C8F">
            <w:pPr>
              <w:spacing w:before="120" w:after="240"/>
              <w:rPr>
                <w:rFonts w:ascii="Tahoma" w:hAnsi="Tahoma" w:cs="Tahoma"/>
                <w:i/>
                <w:iCs/>
                <w:sz w:val="16"/>
                <w:szCs w:val="16"/>
                <w:lang w:bidi="ar-AE"/>
              </w:rPr>
            </w:pPr>
          </w:p>
        </w:tc>
        <w:tc>
          <w:tcPr>
            <w:tcW w:w="0" w:type="auto"/>
          </w:tcPr>
          <w:p w14:paraId="2CEBF6F1"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Avtobusi z motorjem z notranjim zgorevanjem, z izjemo medmestnih potniških in linijskih avtobusov (brez mestnih in primestnih) ter katerihkoli tovrstnih premičnin do 31. 12. 2025.</w:t>
            </w:r>
          </w:p>
        </w:tc>
      </w:tr>
      <w:tr w:rsidR="005D46C2" w:rsidRPr="006370DA" w14:paraId="7D01CCC8" w14:textId="77777777" w:rsidTr="00F77C8F">
        <w:trPr>
          <w:trHeight w:val="700"/>
        </w:trPr>
        <w:tc>
          <w:tcPr>
            <w:tcW w:w="0" w:type="auto"/>
            <w:vMerge w:val="restart"/>
          </w:tcPr>
          <w:p w14:paraId="44CDAADD"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Vlaki</w:t>
            </w:r>
          </w:p>
        </w:tc>
        <w:tc>
          <w:tcPr>
            <w:tcW w:w="0" w:type="auto"/>
          </w:tcPr>
          <w:p w14:paraId="2120A90B"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Katerikoli vlak z izjemo vlakov z ničelnimi neposrednimi emisijami</w:t>
            </w:r>
            <w:r w:rsidRPr="006370DA">
              <w:rPr>
                <w:rFonts w:ascii="Tahoma" w:hAnsi="Tahoma" w:cs="Tahoma"/>
                <w:sz w:val="16"/>
                <w:szCs w:val="16"/>
                <w:lang w:val="pl-PL" w:bidi="ar-AE"/>
              </w:rPr>
              <w:t>.</w:t>
            </w:r>
          </w:p>
        </w:tc>
      </w:tr>
      <w:tr w:rsidR="005D46C2" w:rsidRPr="006370DA" w14:paraId="264A97DB" w14:textId="77777777" w:rsidTr="00F77C8F">
        <w:trPr>
          <w:trHeight w:val="1126"/>
        </w:trPr>
        <w:tc>
          <w:tcPr>
            <w:tcW w:w="0" w:type="auto"/>
            <w:vMerge/>
          </w:tcPr>
          <w:p w14:paraId="491A00ED" w14:textId="77777777" w:rsidR="005D46C2" w:rsidRPr="006370DA" w:rsidRDefault="005D46C2" w:rsidP="00F77C8F">
            <w:pPr>
              <w:spacing w:before="120" w:after="240"/>
              <w:rPr>
                <w:rFonts w:ascii="Tahoma" w:hAnsi="Tahoma" w:cs="Tahoma"/>
                <w:sz w:val="16"/>
                <w:szCs w:val="16"/>
                <w:lang w:bidi="ar-AE"/>
              </w:rPr>
            </w:pPr>
          </w:p>
        </w:tc>
        <w:tc>
          <w:tcPr>
            <w:tcW w:w="0" w:type="auto"/>
          </w:tcPr>
          <w:p w14:paraId="05A27013" w14:textId="77777777" w:rsidR="005D46C2" w:rsidRPr="006370DA" w:rsidRDefault="005D46C2" w:rsidP="00F77C8F">
            <w:pPr>
              <w:spacing w:before="120" w:after="240"/>
              <w:rPr>
                <w:rFonts w:ascii="Tahoma" w:hAnsi="Tahoma" w:cs="Tahoma"/>
                <w:i/>
                <w:iCs/>
                <w:sz w:val="16"/>
                <w:szCs w:val="16"/>
                <w:lang w:bidi="ar-AE"/>
              </w:rPr>
            </w:pPr>
            <w:proofErr w:type="spellStart"/>
            <w:r w:rsidRPr="006370DA">
              <w:rPr>
                <w:rFonts w:ascii="Tahoma" w:hAnsi="Tahoma" w:cs="Tahoma"/>
                <w:i/>
                <w:iCs/>
                <w:sz w:val="16"/>
                <w:szCs w:val="16"/>
                <w:lang w:bidi="ar-AE"/>
              </w:rPr>
              <w:t>Bimodalni</w:t>
            </w:r>
            <w:proofErr w:type="spellEnd"/>
            <w:r w:rsidRPr="006370DA">
              <w:rPr>
                <w:rFonts w:ascii="Tahoma" w:hAnsi="Tahoma" w:cs="Tahoma"/>
                <w:i/>
                <w:iCs/>
                <w:sz w:val="16"/>
                <w:szCs w:val="16"/>
                <w:lang w:bidi="ar-AE"/>
              </w:rPr>
              <w:t xml:space="preserve"> vlaki: </w:t>
            </w:r>
          </w:p>
          <w:p w14:paraId="43B23290"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Vsi vlaki razen tistih z ničelnimi neposrednimi emisijami CO2 pri izpustu, ki delujejo na tirih s potrebno infrastrukturo in uporabljajo konvencionalni motor le, kjer takšna infrastruktura ni na voljo.</w:t>
            </w:r>
          </w:p>
        </w:tc>
      </w:tr>
      <w:tr w:rsidR="005D46C2" w:rsidRPr="006370DA" w14:paraId="0B746B8E" w14:textId="77777777" w:rsidTr="00F77C8F">
        <w:trPr>
          <w:trHeight w:val="310"/>
        </w:trPr>
        <w:tc>
          <w:tcPr>
            <w:tcW w:w="0" w:type="auto"/>
            <w:vMerge/>
          </w:tcPr>
          <w:p w14:paraId="16B0625C" w14:textId="77777777" w:rsidR="005D46C2" w:rsidRPr="006370DA" w:rsidRDefault="005D46C2" w:rsidP="00F77C8F">
            <w:pPr>
              <w:spacing w:before="120" w:after="240"/>
              <w:rPr>
                <w:rFonts w:ascii="Tahoma" w:hAnsi="Tahoma" w:cs="Tahoma"/>
                <w:sz w:val="16"/>
                <w:szCs w:val="16"/>
                <w:lang w:bidi="ar-AE"/>
              </w:rPr>
            </w:pPr>
          </w:p>
        </w:tc>
        <w:tc>
          <w:tcPr>
            <w:tcW w:w="0" w:type="auto"/>
          </w:tcPr>
          <w:p w14:paraId="07BA26F0"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Vozila namenjena prevozu fosilnih goriv ali mešanici fosilnih in alternativnih goriv.</w:t>
            </w:r>
          </w:p>
        </w:tc>
      </w:tr>
      <w:tr w:rsidR="005D46C2" w:rsidRPr="006370DA" w14:paraId="38AB9370" w14:textId="77777777" w:rsidTr="00F77C8F">
        <w:trPr>
          <w:trHeight w:val="263"/>
        </w:trPr>
        <w:tc>
          <w:tcPr>
            <w:tcW w:w="0" w:type="auto"/>
            <w:vMerge w:val="restart"/>
          </w:tcPr>
          <w:p w14:paraId="0C4EDA11"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Plovila po celinskih plovnih poteh</w:t>
            </w:r>
          </w:p>
        </w:tc>
        <w:tc>
          <w:tcPr>
            <w:tcW w:w="0" w:type="auto"/>
          </w:tcPr>
          <w:p w14:paraId="4810697C"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val="pl-PL" w:bidi="ar-AE"/>
              </w:rPr>
              <w:t xml:space="preserve">(a) </w:t>
            </w:r>
            <w:r w:rsidRPr="006370DA">
              <w:rPr>
                <w:rFonts w:ascii="Tahoma" w:hAnsi="Tahoma" w:cs="Tahoma"/>
                <w:sz w:val="16"/>
                <w:szCs w:val="16"/>
                <w:lang w:bidi="ar-AE"/>
              </w:rPr>
              <w:t>vsako plovilo z izjemo plovil z ničelnimi neposrednimi emisijami</w:t>
            </w:r>
            <w:r w:rsidRPr="006370DA">
              <w:rPr>
                <w:rFonts w:ascii="Tahoma" w:hAnsi="Tahoma" w:cs="Tahoma"/>
                <w:sz w:val="16"/>
                <w:szCs w:val="16"/>
                <w:lang w:val="pl-PL" w:bidi="ar-AE"/>
              </w:rPr>
              <w:t>.</w:t>
            </w:r>
          </w:p>
        </w:tc>
      </w:tr>
      <w:tr w:rsidR="005D46C2" w:rsidRPr="006370DA" w14:paraId="715F95D0" w14:textId="77777777" w:rsidTr="00F77C8F">
        <w:trPr>
          <w:trHeight w:val="261"/>
        </w:trPr>
        <w:tc>
          <w:tcPr>
            <w:tcW w:w="0" w:type="auto"/>
            <w:vMerge/>
          </w:tcPr>
          <w:p w14:paraId="2943FDEA" w14:textId="77777777" w:rsidR="005D46C2" w:rsidRPr="006370DA" w:rsidRDefault="005D46C2" w:rsidP="00F77C8F">
            <w:pPr>
              <w:spacing w:before="120" w:after="240"/>
              <w:rPr>
                <w:rFonts w:ascii="Tahoma" w:hAnsi="Tahoma" w:cs="Tahoma"/>
                <w:sz w:val="16"/>
                <w:szCs w:val="16"/>
                <w:lang w:bidi="ar-AE"/>
              </w:rPr>
            </w:pPr>
          </w:p>
        </w:tc>
        <w:tc>
          <w:tcPr>
            <w:tcW w:w="0" w:type="auto"/>
          </w:tcPr>
          <w:p w14:paraId="3070C5C3"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 xml:space="preserve">(b) vsako plovilo z izjemo plovil, ki jih poganjajo izključno napredna </w:t>
            </w:r>
            <w:proofErr w:type="spellStart"/>
            <w:r w:rsidRPr="006370DA">
              <w:rPr>
                <w:rFonts w:ascii="Tahoma" w:hAnsi="Tahoma" w:cs="Tahoma"/>
                <w:sz w:val="16"/>
                <w:szCs w:val="16"/>
                <w:lang w:bidi="ar-AE"/>
              </w:rPr>
              <w:t>biogoriva</w:t>
            </w:r>
            <w:proofErr w:type="spellEnd"/>
            <w:r w:rsidRPr="006370DA">
              <w:rPr>
                <w:rFonts w:ascii="Tahoma" w:hAnsi="Tahoma" w:cs="Tahoma"/>
                <w:sz w:val="16"/>
                <w:szCs w:val="16"/>
                <w:vertAlign w:val="superscript"/>
                <w:lang w:bidi="ar-AE"/>
              </w:rPr>
              <w:footnoteReference w:id="18"/>
            </w:r>
            <w:r w:rsidRPr="006370DA">
              <w:rPr>
                <w:rFonts w:ascii="Tahoma" w:hAnsi="Tahoma" w:cs="Tahoma"/>
                <w:sz w:val="16"/>
                <w:szCs w:val="16"/>
                <w:lang w:bidi="ar-AE"/>
              </w:rPr>
              <w:t xml:space="preserve"> ali trajnostna sintetična goriva na osnovi tehnološke rešitve ali neprestanega monitoringa z neodvisno zunanjo kontrolo.</w:t>
            </w:r>
          </w:p>
        </w:tc>
      </w:tr>
      <w:tr w:rsidR="005D46C2" w:rsidRPr="006370DA" w14:paraId="7332486E" w14:textId="77777777" w:rsidTr="00F77C8F">
        <w:trPr>
          <w:trHeight w:val="261"/>
        </w:trPr>
        <w:tc>
          <w:tcPr>
            <w:tcW w:w="0" w:type="auto"/>
            <w:vMerge/>
          </w:tcPr>
          <w:p w14:paraId="7B0353CE" w14:textId="77777777" w:rsidR="005D46C2" w:rsidRPr="006370DA" w:rsidRDefault="005D46C2" w:rsidP="00F77C8F">
            <w:pPr>
              <w:spacing w:before="120" w:after="240"/>
              <w:rPr>
                <w:rFonts w:ascii="Tahoma" w:hAnsi="Tahoma" w:cs="Tahoma"/>
                <w:sz w:val="16"/>
                <w:szCs w:val="16"/>
                <w:lang w:bidi="ar-AE"/>
              </w:rPr>
            </w:pPr>
          </w:p>
        </w:tc>
        <w:tc>
          <w:tcPr>
            <w:tcW w:w="0" w:type="auto"/>
          </w:tcPr>
          <w:p w14:paraId="49B300CB"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val="pl-PL" w:bidi="ar-AE"/>
              </w:rPr>
              <w:t xml:space="preserve">(c) vsako plovilo z izjemo </w:t>
            </w:r>
            <w:r w:rsidRPr="006370DA">
              <w:rPr>
                <w:rFonts w:ascii="Tahoma" w:hAnsi="Tahoma" w:cs="Tahoma"/>
                <w:sz w:val="16"/>
                <w:szCs w:val="16"/>
                <w:lang w:bidi="ar-AE"/>
              </w:rPr>
              <w:t>plovil za osebni transport do  31. 12. 2025, hibridnih plovil ali plovil z dvojnim pogonom, ki vsaj 50 % neposredne energije dobijo iz goriv z ničelnimi neposrednimi CO2 emisijami pri izpustu ali energetskega priključka za redno delovanje.</w:t>
            </w:r>
          </w:p>
        </w:tc>
      </w:tr>
      <w:tr w:rsidR="005D46C2" w:rsidRPr="006370DA" w14:paraId="3C7BAF4F" w14:textId="77777777" w:rsidTr="00F77C8F">
        <w:tc>
          <w:tcPr>
            <w:tcW w:w="0" w:type="auto"/>
            <w:vMerge/>
          </w:tcPr>
          <w:p w14:paraId="6B11983F" w14:textId="77777777" w:rsidR="005D46C2" w:rsidRPr="006370DA" w:rsidRDefault="005D46C2" w:rsidP="00F77C8F">
            <w:pPr>
              <w:spacing w:before="120" w:after="240"/>
              <w:rPr>
                <w:rFonts w:ascii="Tahoma" w:hAnsi="Tahoma" w:cs="Tahoma"/>
                <w:sz w:val="16"/>
                <w:szCs w:val="16"/>
                <w:lang w:bidi="ar-AE"/>
              </w:rPr>
            </w:pPr>
          </w:p>
        </w:tc>
        <w:tc>
          <w:tcPr>
            <w:tcW w:w="0" w:type="auto"/>
          </w:tcPr>
          <w:p w14:paraId="1D0AA57F"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(d) vsako plovilo z izjemo tovornih plovil pri katerih neposredne emisije presegajo 28.3 gCO2 ekvivalenta na tonski kilometer (gCO2e/</w:t>
            </w:r>
            <w:proofErr w:type="spellStart"/>
            <w:r w:rsidRPr="006370DA">
              <w:rPr>
                <w:rFonts w:ascii="Tahoma" w:hAnsi="Tahoma" w:cs="Tahoma"/>
                <w:sz w:val="16"/>
                <w:szCs w:val="16"/>
                <w:lang w:bidi="ar-AE"/>
              </w:rPr>
              <w:t>tkm</w:t>
            </w:r>
            <w:proofErr w:type="spellEnd"/>
            <w:r w:rsidRPr="006370DA">
              <w:rPr>
                <w:rFonts w:ascii="Tahoma" w:hAnsi="Tahoma" w:cs="Tahoma"/>
                <w:sz w:val="16"/>
                <w:szCs w:val="16"/>
                <w:lang w:bidi="ar-AE"/>
              </w:rPr>
              <w:t>), če tehnološko ali ekonomsko ni možno zagotavljati skladnosti vozil z zahtevo ničelnih neposrednih emisij do 31. 12. 2025 .</w:t>
            </w:r>
          </w:p>
        </w:tc>
      </w:tr>
      <w:tr w:rsidR="005D46C2" w:rsidRPr="006370DA" w14:paraId="3B948A0B" w14:textId="77777777" w:rsidTr="00F77C8F">
        <w:tc>
          <w:tcPr>
            <w:tcW w:w="0" w:type="auto"/>
            <w:vMerge/>
          </w:tcPr>
          <w:p w14:paraId="7001500C" w14:textId="77777777" w:rsidR="005D46C2" w:rsidRPr="006370DA" w:rsidRDefault="005D46C2" w:rsidP="00F77C8F">
            <w:pPr>
              <w:spacing w:before="120" w:after="240"/>
              <w:rPr>
                <w:rFonts w:ascii="Tahoma" w:hAnsi="Tahoma" w:cs="Tahoma"/>
                <w:sz w:val="16"/>
                <w:szCs w:val="16"/>
                <w:lang w:bidi="ar-AE"/>
              </w:rPr>
            </w:pPr>
          </w:p>
        </w:tc>
        <w:tc>
          <w:tcPr>
            <w:tcW w:w="0" w:type="auto"/>
          </w:tcPr>
          <w:p w14:paraId="7D68E134"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 xml:space="preserve">(e) plovila namenjena prevozu fosilnih goriv ali mešanici fosilnih in alternativnih goriv. </w:t>
            </w:r>
          </w:p>
        </w:tc>
      </w:tr>
      <w:tr w:rsidR="005D46C2" w:rsidRPr="006370DA" w14:paraId="1A35333C" w14:textId="77777777" w:rsidTr="00F77C8F">
        <w:trPr>
          <w:trHeight w:val="530"/>
        </w:trPr>
        <w:tc>
          <w:tcPr>
            <w:tcW w:w="0" w:type="auto"/>
            <w:vMerge w:val="restart"/>
          </w:tcPr>
          <w:p w14:paraId="4C808F1A"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Morske ladje in obalna plovila</w:t>
            </w:r>
            <w:r w:rsidRPr="006370DA">
              <w:rPr>
                <w:rFonts w:ascii="Tahoma" w:hAnsi="Tahoma" w:cs="Tahoma"/>
                <w:sz w:val="16"/>
                <w:szCs w:val="16"/>
                <w:vertAlign w:val="superscript"/>
                <w:lang w:bidi="ar-AE"/>
              </w:rPr>
              <w:footnoteReference w:id="19"/>
            </w:r>
          </w:p>
        </w:tc>
        <w:tc>
          <w:tcPr>
            <w:tcW w:w="0" w:type="auto"/>
          </w:tcPr>
          <w:p w14:paraId="7AFEC0BE"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val="pl-PL" w:bidi="ar-AE"/>
              </w:rPr>
              <w:t>(a) vsa takšna plovila z izjemo plovil z ničelnimi neposrednimi emisijami.</w:t>
            </w:r>
          </w:p>
        </w:tc>
      </w:tr>
      <w:tr w:rsidR="005D46C2" w:rsidRPr="006370DA" w14:paraId="37280367" w14:textId="77777777" w:rsidTr="00F77C8F">
        <w:trPr>
          <w:trHeight w:val="950"/>
        </w:trPr>
        <w:tc>
          <w:tcPr>
            <w:tcW w:w="0" w:type="auto"/>
            <w:vMerge/>
          </w:tcPr>
          <w:p w14:paraId="05FB422B" w14:textId="77777777" w:rsidR="005D46C2" w:rsidRPr="006370DA" w:rsidRDefault="005D46C2" w:rsidP="00F77C8F">
            <w:pPr>
              <w:spacing w:before="120" w:after="240"/>
              <w:rPr>
                <w:rFonts w:ascii="Tahoma" w:hAnsi="Tahoma" w:cs="Tahoma"/>
                <w:sz w:val="16"/>
                <w:szCs w:val="16"/>
                <w:lang w:bidi="ar-AE"/>
              </w:rPr>
            </w:pPr>
          </w:p>
        </w:tc>
        <w:tc>
          <w:tcPr>
            <w:tcW w:w="0" w:type="auto"/>
          </w:tcPr>
          <w:p w14:paraId="13261609"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 xml:space="preserve">(b) vsa takšna plovila z izjemo plovil, ki jih poganjajo izključno napredna </w:t>
            </w:r>
            <w:proofErr w:type="spellStart"/>
            <w:r w:rsidRPr="006370DA">
              <w:rPr>
                <w:rFonts w:ascii="Tahoma" w:hAnsi="Tahoma" w:cs="Tahoma"/>
                <w:sz w:val="16"/>
                <w:szCs w:val="16"/>
                <w:lang w:bidi="ar-AE"/>
              </w:rPr>
              <w:t>biogoriva</w:t>
            </w:r>
            <w:proofErr w:type="spellEnd"/>
            <w:r w:rsidRPr="006370DA">
              <w:rPr>
                <w:rFonts w:ascii="Tahoma" w:hAnsi="Tahoma" w:cs="Tahoma"/>
                <w:sz w:val="16"/>
                <w:szCs w:val="16"/>
                <w:lang w:bidi="ar-AE"/>
              </w:rPr>
              <w:t xml:space="preserve"> ali trajnostna sintetična goriva na osnovi tehnološke rešitve ali neprestanega monitoringa z neodvisno zunanjo kontrolo.</w:t>
            </w:r>
          </w:p>
        </w:tc>
      </w:tr>
      <w:tr w:rsidR="005D46C2" w:rsidRPr="006370DA" w14:paraId="3E90F576" w14:textId="77777777" w:rsidTr="00F77C8F">
        <w:trPr>
          <w:trHeight w:val="950"/>
        </w:trPr>
        <w:tc>
          <w:tcPr>
            <w:tcW w:w="0" w:type="auto"/>
            <w:vMerge/>
          </w:tcPr>
          <w:p w14:paraId="15175FBC" w14:textId="77777777" w:rsidR="005D46C2" w:rsidRPr="006370DA" w:rsidRDefault="005D46C2" w:rsidP="00F77C8F">
            <w:pPr>
              <w:spacing w:before="120" w:after="240"/>
              <w:rPr>
                <w:rFonts w:ascii="Tahoma" w:hAnsi="Tahoma" w:cs="Tahoma"/>
                <w:sz w:val="16"/>
                <w:szCs w:val="16"/>
                <w:lang w:bidi="ar-AE"/>
              </w:rPr>
            </w:pPr>
          </w:p>
        </w:tc>
        <w:tc>
          <w:tcPr>
            <w:tcW w:w="0" w:type="auto"/>
          </w:tcPr>
          <w:p w14:paraId="3CC0768E"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val="pl-PL" w:bidi="ar-AE"/>
              </w:rPr>
              <w:t xml:space="preserve">(c) vsak takšna tovorna plovila po 31. 12. 2025 z izjemo ladij na hibridni pogon ali na dvojni pogon, ki vsaj 25 % energije pridobijo iz vira z nič CO2 emisijami pri izpustu ali energetskega priključka za redno delovanje. </w:t>
            </w:r>
          </w:p>
        </w:tc>
      </w:tr>
      <w:tr w:rsidR="005D46C2" w:rsidRPr="006370DA" w14:paraId="6A54FD97" w14:textId="77777777" w:rsidTr="00F77C8F">
        <w:trPr>
          <w:trHeight w:val="950"/>
        </w:trPr>
        <w:tc>
          <w:tcPr>
            <w:tcW w:w="0" w:type="auto"/>
            <w:vMerge/>
          </w:tcPr>
          <w:p w14:paraId="5A257B78" w14:textId="77777777" w:rsidR="005D46C2" w:rsidRPr="006370DA" w:rsidRDefault="005D46C2" w:rsidP="00F77C8F">
            <w:pPr>
              <w:spacing w:before="120" w:after="240"/>
              <w:rPr>
                <w:rFonts w:ascii="Tahoma" w:hAnsi="Tahoma" w:cs="Tahoma"/>
                <w:sz w:val="16"/>
                <w:szCs w:val="16"/>
                <w:lang w:bidi="ar-AE"/>
              </w:rPr>
            </w:pPr>
          </w:p>
        </w:tc>
        <w:tc>
          <w:tcPr>
            <w:tcW w:w="0" w:type="auto"/>
          </w:tcPr>
          <w:p w14:paraId="6AFE8EFF"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 xml:space="preserve">(d) do 31. 12. 2025, kjer tehnološko ali ekonomsko ni možno zagotavljati skladnosti plovil z zahtevo ničelnih neposrednih emisij so dopustne izjeme za, </w:t>
            </w:r>
          </w:p>
          <w:p w14:paraId="42C0B5C3" w14:textId="77777777" w:rsidR="005D46C2" w:rsidRPr="006370DA" w:rsidRDefault="005D46C2" w:rsidP="005D46C2">
            <w:pPr>
              <w:numPr>
                <w:ilvl w:val="2"/>
                <w:numId w:val="5"/>
              </w:numPr>
              <w:spacing w:before="120" w:after="240"/>
              <w:ind w:left="535"/>
              <w:contextualSpacing/>
              <w:rPr>
                <w:rFonts w:ascii="Tahoma" w:hAnsi="Tahoma" w:cs="Tahoma"/>
                <w:sz w:val="16"/>
                <w:szCs w:val="16"/>
                <w:lang w:bidi="ar-AE"/>
              </w:rPr>
            </w:pPr>
            <w:r w:rsidRPr="006370DA">
              <w:rPr>
                <w:rFonts w:ascii="Tahoma" w:hAnsi="Tahoma" w:cs="Tahoma"/>
                <w:sz w:val="16"/>
                <w:szCs w:val="16"/>
                <w:lang w:bidi="ar-AE"/>
              </w:rPr>
              <w:t xml:space="preserve">plovila (pri čemer ne gre za plovila, ki so dosegla vrednost indeksa </w:t>
            </w:r>
            <w:proofErr w:type="spellStart"/>
            <w:r w:rsidRPr="006370DA">
              <w:rPr>
                <w:rFonts w:ascii="Tahoma" w:hAnsi="Tahoma" w:cs="Tahoma"/>
                <w:sz w:val="16"/>
                <w:szCs w:val="16"/>
                <w:lang w:bidi="ar-AE"/>
              </w:rPr>
              <w:t>Energy</w:t>
            </w:r>
            <w:proofErr w:type="spellEnd"/>
            <w:r w:rsidRPr="006370DA">
              <w:rPr>
                <w:rFonts w:ascii="Tahoma" w:hAnsi="Tahoma" w:cs="Tahoma"/>
                <w:sz w:val="16"/>
                <w:szCs w:val="16"/>
                <w:lang w:bidi="ar-AE"/>
              </w:rPr>
              <w:t xml:space="preserve"> </w:t>
            </w:r>
            <w:proofErr w:type="spellStart"/>
            <w:r w:rsidRPr="006370DA">
              <w:rPr>
                <w:rFonts w:ascii="Tahoma" w:hAnsi="Tahoma" w:cs="Tahoma"/>
                <w:sz w:val="16"/>
                <w:szCs w:val="16"/>
                <w:lang w:bidi="ar-AE"/>
              </w:rPr>
              <w:t>Efficiency</w:t>
            </w:r>
            <w:proofErr w:type="spellEnd"/>
            <w:r w:rsidRPr="006370DA">
              <w:rPr>
                <w:rFonts w:ascii="Tahoma" w:hAnsi="Tahoma" w:cs="Tahoma"/>
                <w:sz w:val="16"/>
                <w:szCs w:val="16"/>
                <w:lang w:bidi="ar-AE"/>
              </w:rPr>
              <w:t xml:space="preserve"> Design </w:t>
            </w:r>
            <w:proofErr w:type="spellStart"/>
            <w:r w:rsidRPr="006370DA">
              <w:rPr>
                <w:rFonts w:ascii="Tahoma" w:hAnsi="Tahoma" w:cs="Tahoma"/>
                <w:sz w:val="16"/>
                <w:szCs w:val="16"/>
                <w:lang w:bidi="ar-AE"/>
              </w:rPr>
              <w:t>Index</w:t>
            </w:r>
            <w:proofErr w:type="spellEnd"/>
            <w:r w:rsidRPr="006370DA">
              <w:rPr>
                <w:rFonts w:ascii="Tahoma" w:hAnsi="Tahoma" w:cs="Tahoma"/>
                <w:sz w:val="16"/>
                <w:szCs w:val="16"/>
                <w:lang w:bidi="ar-AE"/>
              </w:rPr>
              <w:t xml:space="preserve"> (EEDI) 10 % pod zahtevami EEDI</w:t>
            </w:r>
            <w:r w:rsidRPr="006370DA">
              <w:rPr>
                <w:rFonts w:ascii="Tahoma" w:hAnsi="Tahoma" w:cs="Tahoma"/>
                <w:sz w:val="16"/>
                <w:szCs w:val="16"/>
                <w:vertAlign w:val="superscript"/>
                <w:lang w:bidi="ar-AE"/>
              </w:rPr>
              <w:footnoteReference w:id="20"/>
            </w:r>
            <w:r w:rsidRPr="006370DA">
              <w:rPr>
                <w:rFonts w:ascii="Tahoma" w:hAnsi="Tahoma" w:cs="Tahoma"/>
                <w:sz w:val="16"/>
                <w:szCs w:val="16"/>
                <w:lang w:bidi="ar-AE"/>
              </w:rPr>
              <w:t xml:space="preserve"> v veljavi 1. 4. 2022), ki lahko delujejo na energente z ničelnimi neposrednimi </w:t>
            </w:r>
            <w:bookmarkStart w:id="1" w:name="_Hlk163139750"/>
            <w:r w:rsidRPr="006370DA">
              <w:rPr>
                <w:rFonts w:ascii="Tahoma" w:hAnsi="Tahoma" w:cs="Tahoma"/>
                <w:sz w:val="16"/>
                <w:szCs w:val="16"/>
                <w:lang w:bidi="ar-AE"/>
              </w:rPr>
              <w:t xml:space="preserve">CO2 emisijami </w:t>
            </w:r>
            <w:bookmarkEnd w:id="1"/>
            <w:r w:rsidRPr="006370DA">
              <w:rPr>
                <w:rFonts w:ascii="Tahoma" w:hAnsi="Tahoma" w:cs="Tahoma"/>
                <w:sz w:val="16"/>
                <w:szCs w:val="16"/>
                <w:lang w:bidi="ar-AE"/>
              </w:rPr>
              <w:t>pri izpustu</w:t>
            </w:r>
            <w:r w:rsidRPr="006370DA">
              <w:rPr>
                <w:rFonts w:ascii="Tahoma" w:hAnsi="Tahoma" w:cs="Tahoma"/>
                <w:sz w:val="16"/>
                <w:szCs w:val="16"/>
                <w:vertAlign w:val="superscript"/>
                <w:lang w:bidi="ar-AE"/>
              </w:rPr>
              <w:footnoteReference w:id="21"/>
            </w:r>
            <w:r w:rsidRPr="006370DA">
              <w:rPr>
                <w:rFonts w:ascii="Tahoma" w:hAnsi="Tahoma" w:cs="Tahoma"/>
                <w:sz w:val="16"/>
                <w:szCs w:val="16"/>
                <w:lang w:bidi="ar-AE"/>
              </w:rPr>
              <w:t xml:space="preserve"> ali na energente iz obnovljivih virov;</w:t>
            </w:r>
          </w:p>
          <w:p w14:paraId="7609CDAE" w14:textId="77777777" w:rsidR="005D46C2" w:rsidRPr="006370DA" w:rsidRDefault="005D46C2" w:rsidP="005D46C2">
            <w:pPr>
              <w:numPr>
                <w:ilvl w:val="2"/>
                <w:numId w:val="5"/>
              </w:numPr>
              <w:spacing w:before="120" w:after="240"/>
              <w:ind w:left="535"/>
              <w:contextualSpacing/>
              <w:rPr>
                <w:rFonts w:ascii="Tahoma" w:hAnsi="Tahoma" w:cs="Tahoma"/>
                <w:sz w:val="16"/>
                <w:szCs w:val="16"/>
                <w:lang w:bidi="ar-AE"/>
              </w:rPr>
            </w:pPr>
            <w:r w:rsidRPr="006370DA">
              <w:rPr>
                <w:rFonts w:ascii="Tahoma" w:hAnsi="Tahoma" w:cs="Tahoma"/>
                <w:sz w:val="16"/>
                <w:szCs w:val="16"/>
                <w:lang w:bidi="ar-AE"/>
              </w:rPr>
              <w:t>plovila za osebni prevoz, pri katerih sicer ne gre za plovila na hibridni pogon ali pogon na dvojno gorivo, ki najmanj 25% energije prejmejo iz goriv z ničelnimi emisijami CO2 pri izpustih ali preko energetskega priključka za redno delovanje;</w:t>
            </w:r>
          </w:p>
          <w:p w14:paraId="7124963A" w14:textId="77777777" w:rsidR="005D46C2" w:rsidRPr="006370DA" w:rsidRDefault="005D46C2" w:rsidP="005D46C2">
            <w:pPr>
              <w:numPr>
                <w:ilvl w:val="2"/>
                <w:numId w:val="5"/>
              </w:numPr>
              <w:tabs>
                <w:tab w:val="left" w:pos="3872"/>
              </w:tabs>
              <w:spacing w:before="120" w:after="240"/>
              <w:ind w:left="535"/>
              <w:contextualSpacing/>
              <w:rPr>
                <w:rFonts w:ascii="Tahoma" w:hAnsi="Tahoma" w:cs="Tahoma"/>
                <w:sz w:val="16"/>
                <w:szCs w:val="16"/>
                <w:lang w:bidi="ar-AE"/>
              </w:rPr>
            </w:pPr>
            <w:r w:rsidRPr="006370DA">
              <w:rPr>
                <w:rFonts w:ascii="Tahoma" w:hAnsi="Tahoma" w:cs="Tahoma"/>
                <w:sz w:val="16"/>
                <w:szCs w:val="16"/>
                <w:lang w:bidi="ar-AE"/>
              </w:rPr>
              <w:t>tovorna plovila, kadar je možno dokazati, da delujejo izključno pri izvajanju obalnih in priobalnih storitev za potrebe spremembe načina prevoza blaga s kopnega na morski transport ter tovorna plovila pri katerih neposredne emisije CO2 presegajo 28.3 gCO2 ekvivalenta na tonski kilometer (gCO2e/</w:t>
            </w:r>
            <w:proofErr w:type="spellStart"/>
            <w:r w:rsidRPr="006370DA">
              <w:rPr>
                <w:rFonts w:ascii="Tahoma" w:hAnsi="Tahoma" w:cs="Tahoma"/>
                <w:sz w:val="16"/>
                <w:szCs w:val="16"/>
                <w:lang w:bidi="ar-AE"/>
              </w:rPr>
              <w:t>tkm</w:t>
            </w:r>
            <w:proofErr w:type="spellEnd"/>
            <w:r w:rsidRPr="006370DA">
              <w:rPr>
                <w:rFonts w:ascii="Tahoma" w:hAnsi="Tahoma" w:cs="Tahoma"/>
                <w:sz w:val="16"/>
                <w:szCs w:val="16"/>
                <w:lang w:bidi="ar-AE"/>
              </w:rPr>
              <w:t>);</w:t>
            </w:r>
          </w:p>
          <w:p w14:paraId="23A41F64" w14:textId="77777777" w:rsidR="005D46C2" w:rsidRPr="006370DA" w:rsidRDefault="005D46C2" w:rsidP="005D46C2">
            <w:pPr>
              <w:numPr>
                <w:ilvl w:val="2"/>
                <w:numId w:val="5"/>
              </w:numPr>
              <w:spacing w:before="120" w:after="240"/>
              <w:ind w:left="535"/>
              <w:contextualSpacing/>
              <w:rPr>
                <w:rFonts w:ascii="Tahoma" w:hAnsi="Tahoma" w:cs="Tahoma"/>
                <w:sz w:val="16"/>
                <w:szCs w:val="16"/>
                <w:lang w:bidi="ar-AE"/>
              </w:rPr>
            </w:pPr>
            <w:r w:rsidRPr="006370DA">
              <w:rPr>
                <w:rFonts w:ascii="Tahoma" w:hAnsi="Tahoma" w:cs="Tahoma"/>
                <w:sz w:val="16"/>
                <w:szCs w:val="16"/>
                <w:lang w:bidi="ar-AE"/>
              </w:rPr>
              <w:t>plovila, ki so skladna s kriteriji pod (b) in (c) zgoraj.</w:t>
            </w:r>
          </w:p>
        </w:tc>
      </w:tr>
      <w:tr w:rsidR="005D46C2" w:rsidRPr="006370DA" w14:paraId="6A3E06D2" w14:textId="77777777" w:rsidTr="00F77C8F">
        <w:trPr>
          <w:trHeight w:val="467"/>
        </w:trPr>
        <w:tc>
          <w:tcPr>
            <w:tcW w:w="0" w:type="auto"/>
            <w:vMerge/>
          </w:tcPr>
          <w:p w14:paraId="599187E2" w14:textId="77777777" w:rsidR="005D46C2" w:rsidRPr="006370DA" w:rsidRDefault="005D46C2" w:rsidP="00F77C8F">
            <w:pPr>
              <w:spacing w:before="120" w:after="240"/>
              <w:rPr>
                <w:rFonts w:ascii="Tahoma" w:hAnsi="Tahoma" w:cs="Tahoma"/>
                <w:sz w:val="16"/>
                <w:szCs w:val="16"/>
                <w:lang w:bidi="ar-AE"/>
              </w:rPr>
            </w:pPr>
          </w:p>
        </w:tc>
        <w:tc>
          <w:tcPr>
            <w:tcW w:w="0" w:type="auto"/>
          </w:tcPr>
          <w:p w14:paraId="3F16D6DF"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 xml:space="preserve">(e) plovila, ki izključno uporabljajo konvencionalna goriva (mazut, plinsko olje, </w:t>
            </w:r>
            <w:proofErr w:type="spellStart"/>
            <w:r w:rsidRPr="006370DA">
              <w:rPr>
                <w:rFonts w:ascii="Tahoma" w:hAnsi="Tahoma" w:cs="Tahoma"/>
                <w:sz w:val="16"/>
                <w:szCs w:val="16"/>
                <w:lang w:bidi="ar-AE"/>
              </w:rPr>
              <w:t>dieselsko</w:t>
            </w:r>
            <w:proofErr w:type="spellEnd"/>
            <w:r w:rsidRPr="006370DA">
              <w:rPr>
                <w:rFonts w:ascii="Tahoma" w:hAnsi="Tahoma" w:cs="Tahoma"/>
                <w:sz w:val="16"/>
                <w:szCs w:val="16"/>
                <w:lang w:bidi="ar-AE"/>
              </w:rPr>
              <w:t xml:space="preserve"> gorivo, bencin).</w:t>
            </w:r>
          </w:p>
        </w:tc>
      </w:tr>
      <w:tr w:rsidR="005D46C2" w:rsidRPr="006370DA" w14:paraId="1C18349B" w14:textId="77777777" w:rsidTr="00F77C8F">
        <w:trPr>
          <w:trHeight w:val="674"/>
        </w:trPr>
        <w:tc>
          <w:tcPr>
            <w:tcW w:w="0" w:type="auto"/>
            <w:vMerge/>
          </w:tcPr>
          <w:p w14:paraId="68989003" w14:textId="77777777" w:rsidR="005D46C2" w:rsidRPr="006370DA" w:rsidRDefault="005D46C2" w:rsidP="00F77C8F">
            <w:pPr>
              <w:spacing w:before="120" w:after="240"/>
              <w:rPr>
                <w:rFonts w:ascii="Tahoma" w:hAnsi="Tahoma" w:cs="Tahoma"/>
                <w:sz w:val="16"/>
                <w:szCs w:val="16"/>
                <w:lang w:bidi="ar-AE"/>
              </w:rPr>
            </w:pPr>
          </w:p>
        </w:tc>
        <w:tc>
          <w:tcPr>
            <w:tcW w:w="0" w:type="auto"/>
          </w:tcPr>
          <w:p w14:paraId="3FD9A83E"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(f) plovila namenjena prevozu fosilnih goriv ali mešanici fosilnih in alternativnih goriv.</w:t>
            </w:r>
          </w:p>
        </w:tc>
      </w:tr>
      <w:tr w:rsidR="005D46C2" w:rsidRPr="002A6913" w14:paraId="1CC037B9" w14:textId="77777777" w:rsidTr="00F77C8F">
        <w:trPr>
          <w:trHeight w:val="950"/>
        </w:trPr>
        <w:tc>
          <w:tcPr>
            <w:tcW w:w="0" w:type="auto"/>
          </w:tcPr>
          <w:p w14:paraId="67A6EF3B" w14:textId="77777777" w:rsidR="005D46C2" w:rsidRPr="006370DA" w:rsidRDefault="005D46C2" w:rsidP="00F77C8F">
            <w:pPr>
              <w:spacing w:before="120" w:after="240"/>
              <w:rPr>
                <w:rFonts w:ascii="Tahoma" w:hAnsi="Tahoma" w:cs="Tahoma"/>
                <w:sz w:val="16"/>
                <w:szCs w:val="16"/>
                <w:lang w:bidi="ar-AE"/>
              </w:rPr>
            </w:pPr>
            <w:r w:rsidRPr="006370DA">
              <w:rPr>
                <w:rFonts w:ascii="Tahoma" w:hAnsi="Tahoma" w:cs="Tahoma"/>
                <w:sz w:val="16"/>
                <w:szCs w:val="16"/>
                <w:lang w:val="pl-PL" w:bidi="ar-AE"/>
              </w:rPr>
              <w:t>Naknadno opremljanje plovil za celinsko, morsko in obalno plovbo.</w:t>
            </w:r>
          </w:p>
        </w:tc>
        <w:tc>
          <w:tcPr>
            <w:tcW w:w="0" w:type="auto"/>
          </w:tcPr>
          <w:p w14:paraId="0A348ADF" w14:textId="77777777" w:rsidR="005D46C2" w:rsidRPr="005C79F6" w:rsidRDefault="005D46C2" w:rsidP="00F77C8F">
            <w:pPr>
              <w:spacing w:before="120" w:after="240"/>
              <w:rPr>
                <w:rFonts w:ascii="Tahoma" w:hAnsi="Tahoma" w:cs="Tahoma"/>
                <w:sz w:val="16"/>
                <w:szCs w:val="16"/>
                <w:lang w:bidi="ar-AE"/>
              </w:rPr>
            </w:pPr>
            <w:r w:rsidRPr="006370DA">
              <w:rPr>
                <w:rFonts w:ascii="Tahoma" w:hAnsi="Tahoma" w:cs="Tahoma"/>
                <w:sz w:val="16"/>
                <w:szCs w:val="16"/>
                <w:lang w:bidi="ar-AE"/>
              </w:rPr>
              <w:t xml:space="preserve">Naknadno opremljanje in vzdrževanje plovil z namenom podaljšanja njihove življenjske dobe z izjemo ukrepov in nadgradenj, ki imajo dokazane </w:t>
            </w:r>
            <w:proofErr w:type="spellStart"/>
            <w:r w:rsidRPr="006370DA">
              <w:rPr>
                <w:rFonts w:ascii="Tahoma" w:hAnsi="Tahoma" w:cs="Tahoma"/>
                <w:sz w:val="16"/>
                <w:szCs w:val="16"/>
                <w:lang w:bidi="ar-AE"/>
              </w:rPr>
              <w:t>okoljske</w:t>
            </w:r>
            <w:proofErr w:type="spellEnd"/>
            <w:r w:rsidRPr="006370DA">
              <w:rPr>
                <w:rFonts w:ascii="Tahoma" w:hAnsi="Tahoma" w:cs="Tahoma"/>
                <w:sz w:val="16"/>
                <w:szCs w:val="16"/>
                <w:lang w:bidi="ar-AE"/>
              </w:rPr>
              <w:t xml:space="preserve"> in/ali varnostne izboljšave in/ali izboljšave na področju zaščite.</w:t>
            </w:r>
          </w:p>
        </w:tc>
      </w:tr>
    </w:tbl>
    <w:p w14:paraId="15267C37" w14:textId="77777777" w:rsidR="005D46C2" w:rsidRDefault="005D46C2" w:rsidP="005D46C2">
      <w:pPr>
        <w:spacing w:after="0" w:line="240" w:lineRule="auto"/>
        <w:jc w:val="both"/>
        <w:rPr>
          <w:rFonts w:ascii="Tahoma" w:eastAsia="Times New Roman" w:hAnsi="Tahoma" w:cs="Tahoma"/>
          <w:sz w:val="16"/>
          <w:szCs w:val="16"/>
          <w:lang w:eastAsia="sl-SI"/>
        </w:rPr>
      </w:pPr>
    </w:p>
    <w:p w14:paraId="007812D1" w14:textId="77777777" w:rsidR="005D46C2" w:rsidRPr="00F30B0B" w:rsidRDefault="005D46C2" w:rsidP="005D46C2">
      <w:pPr>
        <w:spacing w:after="0" w:line="240" w:lineRule="auto"/>
        <w:jc w:val="both"/>
        <w:rPr>
          <w:rFonts w:ascii="Tahoma" w:eastAsia="Times New Roman" w:hAnsi="Tahoma" w:cs="Tahoma"/>
          <w:sz w:val="16"/>
          <w:szCs w:val="16"/>
          <w:lang w:eastAsia="sl-SI"/>
        </w:rPr>
      </w:pPr>
    </w:p>
    <w:p w14:paraId="19767E52" w14:textId="77777777" w:rsidR="005D46C2" w:rsidRPr="00F30B0B" w:rsidRDefault="005D46C2" w:rsidP="005D46C2"/>
    <w:p w14:paraId="71D8D193" w14:textId="77777777" w:rsidR="005D46C2" w:rsidRPr="00F30B0B" w:rsidRDefault="005D46C2" w:rsidP="005D46C2">
      <w:pPr>
        <w:sectPr w:rsidR="005D46C2" w:rsidRPr="00F30B0B" w:rsidSect="005D46C2">
          <w:endnotePr>
            <w:numFmt w:val="upperRoman"/>
          </w:endnotePr>
          <w:pgSz w:w="11907" w:h="16840" w:code="9"/>
          <w:pgMar w:top="1843" w:right="1417" w:bottom="720" w:left="1418" w:header="284" w:footer="708" w:gutter="0"/>
          <w:cols w:space="709"/>
          <w:docGrid w:linePitch="326"/>
        </w:sectPr>
      </w:pPr>
    </w:p>
    <w:p w14:paraId="25ECEC2D" w14:textId="77777777" w:rsidR="005D46C2" w:rsidRPr="00F30B0B" w:rsidRDefault="005D46C2" w:rsidP="005D46C2">
      <w:pPr>
        <w:spacing w:after="0" w:line="240" w:lineRule="auto"/>
        <w:rPr>
          <w:rFonts w:ascii="Tahoma" w:hAnsi="Tahoma" w:cs="Tahoma"/>
          <w:sz w:val="16"/>
          <w:szCs w:val="16"/>
        </w:rPr>
      </w:pPr>
    </w:p>
    <w:p w14:paraId="723A3B1B" w14:textId="77777777" w:rsidR="00E71592" w:rsidRDefault="00E71592"/>
    <w:sectPr w:rsidR="00E71592" w:rsidSect="005D46C2">
      <w:pgSz w:w="11906" w:h="16838"/>
      <w:pgMar w:top="1702"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C5408" w14:textId="77777777" w:rsidR="005D46C2" w:rsidRDefault="005D46C2" w:rsidP="005D46C2">
      <w:pPr>
        <w:spacing w:after="0" w:line="240" w:lineRule="auto"/>
      </w:pPr>
      <w:r>
        <w:separator/>
      </w:r>
    </w:p>
  </w:endnote>
  <w:endnote w:type="continuationSeparator" w:id="0">
    <w:p w14:paraId="3C880601" w14:textId="77777777" w:rsidR="005D46C2" w:rsidRDefault="005D46C2" w:rsidP="005D4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3966" w14:textId="77777777" w:rsidR="005D46C2" w:rsidRDefault="005D46C2" w:rsidP="005D46C2">
      <w:pPr>
        <w:spacing w:after="0" w:line="240" w:lineRule="auto"/>
      </w:pPr>
      <w:r>
        <w:separator/>
      </w:r>
    </w:p>
  </w:footnote>
  <w:footnote w:type="continuationSeparator" w:id="0">
    <w:p w14:paraId="7C50A53F" w14:textId="77777777" w:rsidR="005D46C2" w:rsidRDefault="005D46C2" w:rsidP="005D46C2">
      <w:pPr>
        <w:spacing w:after="0" w:line="240" w:lineRule="auto"/>
      </w:pPr>
      <w:r>
        <w:continuationSeparator/>
      </w:r>
    </w:p>
  </w:footnote>
  <w:footnote w:id="1">
    <w:p w14:paraId="0D2D4EA5" w14:textId="77777777" w:rsidR="005D46C2" w:rsidRPr="005C79F6" w:rsidRDefault="005D46C2" w:rsidP="005D46C2">
      <w:pPr>
        <w:pStyle w:val="FootnoteText"/>
        <w:jc w:val="both"/>
        <w:rPr>
          <w:rFonts w:ascii="Tahoma" w:hAnsi="Tahoma" w:cs="Tahoma"/>
          <w:sz w:val="16"/>
          <w:szCs w:val="16"/>
          <w:lang w:val="sl-SI"/>
        </w:rPr>
      </w:pPr>
      <w:r w:rsidRPr="005C79F6">
        <w:rPr>
          <w:rStyle w:val="FootnoteReference"/>
          <w:rFonts w:ascii="Tahoma" w:hAnsi="Tahoma" w:cs="Tahoma"/>
          <w:sz w:val="16"/>
          <w:szCs w:val="16"/>
        </w:rPr>
        <w:footnoteRef/>
      </w:r>
      <w:r w:rsidRPr="005C79F6">
        <w:rPr>
          <w:rFonts w:ascii="Tahoma" w:hAnsi="Tahoma" w:cs="Tahoma"/>
          <w:sz w:val="16"/>
          <w:szCs w:val="16"/>
          <w:lang w:val="sl-SI"/>
        </w:rPr>
        <w:t xml:space="preserve"> Uničenje pomeni: odstranitev ali hudo zmanjšanje celovitosti določenega območja zaradi večje, dolgoročne spremembe rabe zemljišča ali vodnega telesa, ali spremembo habitata na način, da območje izgubi sposobnost opravljanja svoje funkcije.</w:t>
      </w:r>
    </w:p>
  </w:footnote>
  <w:footnote w:id="2">
    <w:p w14:paraId="1E2ED0AF" w14:textId="77777777" w:rsidR="005D46C2" w:rsidRPr="005C79F6" w:rsidRDefault="005D46C2" w:rsidP="005D46C2">
      <w:pPr>
        <w:pStyle w:val="FootnoteText"/>
        <w:jc w:val="both"/>
        <w:rPr>
          <w:rFonts w:ascii="Tahoma" w:hAnsi="Tahoma" w:cs="Tahoma"/>
          <w:sz w:val="16"/>
          <w:szCs w:val="16"/>
          <w:lang w:val="sl-SI"/>
        </w:rPr>
      </w:pPr>
      <w:r w:rsidRPr="005C79F6">
        <w:rPr>
          <w:rStyle w:val="FootnoteReference"/>
          <w:rFonts w:ascii="Tahoma" w:hAnsi="Tahoma" w:cs="Tahoma"/>
          <w:sz w:val="16"/>
          <w:szCs w:val="16"/>
        </w:rPr>
        <w:footnoteRef/>
      </w:r>
      <w:r w:rsidRPr="005C79F6">
        <w:rPr>
          <w:rFonts w:ascii="Tahoma" w:hAnsi="Tahoma" w:cs="Tahoma"/>
          <w:sz w:val="16"/>
          <w:szCs w:val="16"/>
          <w:lang w:val="sl-SI"/>
        </w:rPr>
        <w:t xml:space="preserve"> Ključni habitat je podskupina naravnega ali spremenjenega habitata, ki zahteva posebno pozornost. Ključni habitat vključuje območja z visoko biotsko raznovrstnostjo, ki izpolnjujejo merila klasifikacije Mednarodne zveze za varstvo narave (IUCN), vključno s habitati, ki so nujni za preživetje kritično ogroženih ali ogroženih vrst, kot jih opredeljuje Rdeči seznam ogroženih vrst IUCN ali katerakoli nacionalna zakonodaja; območja posebnega pomena za endemične ali prostorsko omejene vrste; območja, ki so ključna za preživetje selitvenih vrst; območja, ki podpirajo globalno pomembne koncentracije ali številčnost osebkov združevalnih vrst; območja z edinstvenimi združbami vrst ali ki so povezana s ključnimi evolucijskimi procesi ali zagotavljajo ključne ekosistemske storitve; ter območja z biotsko raznovrstnostjo, ki ima pomemben družbeni, gospodarski ali kulturni pomen za lokalne skupnosti.</w:t>
      </w:r>
    </w:p>
    <w:p w14:paraId="05087AA8" w14:textId="77777777" w:rsidR="005D46C2" w:rsidRPr="005C79F6" w:rsidRDefault="005D46C2" w:rsidP="005D46C2">
      <w:pPr>
        <w:pStyle w:val="FootnoteText"/>
        <w:jc w:val="both"/>
        <w:rPr>
          <w:rFonts w:ascii="Tahoma" w:hAnsi="Tahoma" w:cs="Tahoma"/>
          <w:lang w:val="sl-SI"/>
        </w:rPr>
      </w:pPr>
      <w:r w:rsidRPr="005C79F6">
        <w:rPr>
          <w:rFonts w:ascii="Tahoma" w:hAnsi="Tahoma" w:cs="Tahoma"/>
          <w:sz w:val="16"/>
          <w:szCs w:val="16"/>
          <w:lang w:val="sl-SI"/>
        </w:rPr>
        <w:t>Primarni gozdovi ali gozdovi z visoko naravovarstveno vrednostjo se štejejo za ključne habitate. Ključni habitati vključujejo tudi vrste, ki so pod strogo zaščito v skladu s členi 12–16 Direktive o habitatih (Direktiva 92/43/EGS o ohranjanju naravnih habitatov ter prosto živečih živalskih in rastlinskih vrst, z vsemi spremembami).</w:t>
      </w:r>
    </w:p>
  </w:footnote>
  <w:footnote w:id="3">
    <w:p w14:paraId="31563189" w14:textId="77777777" w:rsidR="005D46C2" w:rsidRPr="005C79F6" w:rsidRDefault="005D46C2" w:rsidP="005D46C2">
      <w:pPr>
        <w:pStyle w:val="FootnoteText"/>
        <w:jc w:val="both"/>
        <w:rPr>
          <w:rFonts w:ascii="Tahoma" w:hAnsi="Tahoma" w:cs="Tahoma"/>
          <w:sz w:val="16"/>
          <w:szCs w:val="16"/>
          <w:lang w:val="sl-SI"/>
        </w:rPr>
      </w:pPr>
      <w:r w:rsidRPr="005C79F6">
        <w:rPr>
          <w:rStyle w:val="FootnoteReference"/>
          <w:rFonts w:ascii="Tahoma" w:hAnsi="Tahoma" w:cs="Tahoma"/>
          <w:sz w:val="16"/>
          <w:szCs w:val="16"/>
        </w:rPr>
        <w:footnoteRef/>
      </w:r>
      <w:r w:rsidRPr="005C79F6">
        <w:rPr>
          <w:rFonts w:ascii="Tahoma" w:hAnsi="Tahoma" w:cs="Tahoma"/>
          <w:lang w:val="sl-SI"/>
        </w:rPr>
        <w:t xml:space="preserve"> </w:t>
      </w:r>
      <w:r w:rsidRPr="005C79F6">
        <w:rPr>
          <w:rFonts w:ascii="Tahoma" w:hAnsi="Tahoma" w:cs="Tahoma"/>
          <w:sz w:val="16"/>
          <w:szCs w:val="16"/>
          <w:lang w:val="sl-SI"/>
        </w:rPr>
        <w:t>Razen začasnega zalivanja v prvih treh letih po sajenju, ki je dovoljeno za razvoj globokega koreninskega sistema sadik z namenom zagotavljanja visoke stopnje preživetja.</w:t>
      </w:r>
    </w:p>
  </w:footnote>
  <w:footnote w:id="4">
    <w:p w14:paraId="52B71894" w14:textId="77777777" w:rsidR="005D46C2" w:rsidRPr="005C79F6" w:rsidRDefault="005D46C2" w:rsidP="005D46C2">
      <w:pPr>
        <w:pStyle w:val="FootnoteText"/>
        <w:jc w:val="both"/>
        <w:rPr>
          <w:rFonts w:ascii="Tahoma" w:hAnsi="Tahoma" w:cs="Tahoma"/>
          <w:sz w:val="16"/>
          <w:szCs w:val="16"/>
          <w:lang w:val="sl-SI"/>
        </w:rPr>
      </w:pPr>
      <w:r w:rsidRPr="005C79F6">
        <w:rPr>
          <w:rStyle w:val="FootnoteReference"/>
          <w:rFonts w:ascii="Tahoma" w:hAnsi="Tahoma" w:cs="Tahoma"/>
          <w:sz w:val="16"/>
          <w:szCs w:val="16"/>
        </w:rPr>
        <w:footnoteRef/>
      </w:r>
      <w:r w:rsidRPr="005C79F6">
        <w:rPr>
          <w:rFonts w:ascii="Tahoma" w:hAnsi="Tahoma" w:cs="Tahoma"/>
          <w:sz w:val="16"/>
          <w:szCs w:val="16"/>
          <w:lang w:val="sl-SI"/>
        </w:rPr>
        <w:t xml:space="preserve"> Gozdovi z visoko naravovarstveno vrednostjo so po opredelitvi Sveta za skrbno gospodarjenje z gozdovi (</w:t>
      </w:r>
      <w:proofErr w:type="spellStart"/>
      <w:r w:rsidRPr="005C79F6">
        <w:rPr>
          <w:rFonts w:ascii="Tahoma" w:hAnsi="Tahoma" w:cs="Tahoma"/>
          <w:sz w:val="16"/>
          <w:szCs w:val="16"/>
          <w:lang w:val="sl-SI"/>
        </w:rPr>
        <w:t>Forest</w:t>
      </w:r>
      <w:proofErr w:type="spellEnd"/>
      <w:r w:rsidRPr="005C79F6">
        <w:rPr>
          <w:rFonts w:ascii="Tahoma" w:hAnsi="Tahoma" w:cs="Tahoma"/>
          <w:sz w:val="16"/>
          <w:szCs w:val="16"/>
          <w:lang w:val="sl-SI"/>
        </w:rPr>
        <w:t xml:space="preserve"> </w:t>
      </w:r>
      <w:proofErr w:type="spellStart"/>
      <w:r w:rsidRPr="005C79F6">
        <w:rPr>
          <w:rFonts w:ascii="Tahoma" w:hAnsi="Tahoma" w:cs="Tahoma"/>
          <w:sz w:val="16"/>
          <w:szCs w:val="16"/>
          <w:lang w:val="sl-SI"/>
        </w:rPr>
        <w:t>Stewardship</w:t>
      </w:r>
      <w:proofErr w:type="spellEnd"/>
      <w:r w:rsidRPr="005C79F6">
        <w:rPr>
          <w:rFonts w:ascii="Tahoma" w:hAnsi="Tahoma" w:cs="Tahoma"/>
          <w:sz w:val="16"/>
          <w:szCs w:val="16"/>
          <w:lang w:val="sl-SI"/>
        </w:rPr>
        <w:t xml:space="preserve"> </w:t>
      </w:r>
      <w:proofErr w:type="spellStart"/>
      <w:r w:rsidRPr="005C79F6">
        <w:rPr>
          <w:rFonts w:ascii="Tahoma" w:hAnsi="Tahoma" w:cs="Tahoma"/>
          <w:sz w:val="16"/>
          <w:szCs w:val="16"/>
          <w:lang w:val="sl-SI"/>
        </w:rPr>
        <w:t>Council</w:t>
      </w:r>
      <w:proofErr w:type="spellEnd"/>
      <w:r w:rsidRPr="005C79F6">
        <w:rPr>
          <w:rFonts w:ascii="Tahoma" w:hAnsi="Tahoma" w:cs="Tahoma"/>
          <w:sz w:val="16"/>
          <w:szCs w:val="16"/>
          <w:lang w:val="sl-SI"/>
        </w:rPr>
        <w:t xml:space="preserve"> – FSC) tisti, ki imajo eno ali več naslednjih značilnosti: gozdna območja z globalno, regionalno ali nacionalno pomembnimi koncentracijami biotske raznovrstnosti (npr. </w:t>
      </w:r>
      <w:proofErr w:type="spellStart"/>
      <w:r w:rsidRPr="005C79F6">
        <w:rPr>
          <w:rFonts w:ascii="Tahoma" w:hAnsi="Tahoma" w:cs="Tahoma"/>
          <w:sz w:val="16"/>
          <w:szCs w:val="16"/>
          <w:lang w:val="sl-SI"/>
        </w:rPr>
        <w:t>endemizem</w:t>
      </w:r>
      <w:proofErr w:type="spellEnd"/>
      <w:r w:rsidRPr="005C79F6">
        <w:rPr>
          <w:rFonts w:ascii="Tahoma" w:hAnsi="Tahoma" w:cs="Tahoma"/>
          <w:sz w:val="16"/>
          <w:szCs w:val="16"/>
          <w:lang w:val="sl-SI"/>
        </w:rPr>
        <w:t>, ogrožene vrste, zatočišča);</w:t>
      </w:r>
    </w:p>
    <w:p w14:paraId="5536CE5D" w14:textId="77777777" w:rsidR="005D46C2" w:rsidRPr="005C79F6" w:rsidRDefault="005D46C2" w:rsidP="005D46C2">
      <w:pPr>
        <w:pStyle w:val="FootnoteText"/>
        <w:jc w:val="both"/>
        <w:rPr>
          <w:rFonts w:ascii="Tahoma" w:hAnsi="Tahoma" w:cs="Tahoma"/>
          <w:sz w:val="16"/>
          <w:szCs w:val="16"/>
          <w:lang w:val="sl-SI"/>
        </w:rPr>
      </w:pPr>
      <w:r w:rsidRPr="005C79F6">
        <w:rPr>
          <w:rFonts w:ascii="Tahoma" w:hAnsi="Tahoma" w:cs="Tahoma"/>
          <w:sz w:val="16"/>
          <w:szCs w:val="16"/>
          <w:lang w:val="sl-SI"/>
        </w:rPr>
        <w:t>gozdna območja z globalno, regionalno ali nacionalno pomembnimi velikimi gozdnimi krajinskimi enotami, znotraj katerih ali ki vključujejo upravljavsko enoto, kjer obstajajo življenjsko sposobne populacije večine, če ne vseh, naravno prisotnih vrst v naravnih vzorcih razširjenosti in številčnosti;</w:t>
      </w:r>
    </w:p>
    <w:p w14:paraId="3297B581" w14:textId="77777777" w:rsidR="005D46C2" w:rsidRPr="005C79F6" w:rsidRDefault="005D46C2" w:rsidP="005D46C2">
      <w:pPr>
        <w:pStyle w:val="FootnoteText"/>
        <w:jc w:val="both"/>
        <w:rPr>
          <w:rFonts w:ascii="Tahoma" w:hAnsi="Tahoma" w:cs="Tahoma"/>
          <w:sz w:val="16"/>
          <w:szCs w:val="16"/>
          <w:lang w:val="sl-SI"/>
        </w:rPr>
      </w:pPr>
      <w:r w:rsidRPr="005C79F6">
        <w:rPr>
          <w:rFonts w:ascii="Tahoma" w:hAnsi="Tahoma" w:cs="Tahoma"/>
          <w:sz w:val="16"/>
          <w:szCs w:val="16"/>
          <w:lang w:val="sl-SI"/>
        </w:rPr>
        <w:t>gozdna območja, ki vključujejo ali vsebujejo redke, ogrožene ali prizadete ekosisteme;</w:t>
      </w:r>
    </w:p>
    <w:p w14:paraId="011AE90A" w14:textId="77777777" w:rsidR="005D46C2" w:rsidRPr="005C79F6" w:rsidRDefault="005D46C2" w:rsidP="005D46C2">
      <w:pPr>
        <w:pStyle w:val="FootnoteText"/>
        <w:jc w:val="both"/>
        <w:rPr>
          <w:rFonts w:ascii="Tahoma" w:hAnsi="Tahoma" w:cs="Tahoma"/>
          <w:sz w:val="16"/>
          <w:szCs w:val="16"/>
          <w:lang w:val="sl-SI"/>
        </w:rPr>
      </w:pPr>
      <w:r w:rsidRPr="005C79F6">
        <w:rPr>
          <w:rFonts w:ascii="Tahoma" w:hAnsi="Tahoma" w:cs="Tahoma"/>
          <w:sz w:val="16"/>
          <w:szCs w:val="16"/>
          <w:lang w:val="sl-SI"/>
        </w:rPr>
        <w:t>gozdna območja, ki zagotavljajo osnovne naravne storitve v kritičnih razmerah (npr. zaščita vodnih virov, preprečevanje erozije);</w:t>
      </w:r>
    </w:p>
    <w:p w14:paraId="006AC994" w14:textId="77777777" w:rsidR="005D46C2" w:rsidRPr="005C79F6" w:rsidRDefault="005D46C2" w:rsidP="005D46C2">
      <w:pPr>
        <w:pStyle w:val="FootnoteText"/>
        <w:jc w:val="both"/>
        <w:rPr>
          <w:rFonts w:ascii="Tahoma" w:hAnsi="Tahoma" w:cs="Tahoma"/>
          <w:sz w:val="16"/>
          <w:szCs w:val="16"/>
          <w:lang w:val="sl-SI"/>
        </w:rPr>
      </w:pPr>
      <w:r w:rsidRPr="005C79F6">
        <w:rPr>
          <w:rFonts w:ascii="Tahoma" w:hAnsi="Tahoma" w:cs="Tahoma"/>
          <w:sz w:val="16"/>
          <w:szCs w:val="16"/>
          <w:lang w:val="sl-SI"/>
        </w:rPr>
        <w:t>gozdna območja, ki so ključna za zadovoljevanje osnovnih potreb lokalnih skupnosti (npr. preživetje, zdravje);</w:t>
      </w:r>
    </w:p>
    <w:p w14:paraId="1BC3D4F0" w14:textId="77777777" w:rsidR="005D46C2" w:rsidRPr="005C79F6" w:rsidRDefault="005D46C2" w:rsidP="005D46C2">
      <w:pPr>
        <w:pStyle w:val="FootnoteText"/>
        <w:jc w:val="both"/>
        <w:rPr>
          <w:rFonts w:ascii="Tahoma" w:hAnsi="Tahoma" w:cs="Tahoma"/>
          <w:lang w:val="sl-SI"/>
        </w:rPr>
      </w:pPr>
      <w:r w:rsidRPr="005C79F6">
        <w:rPr>
          <w:rFonts w:ascii="Tahoma" w:hAnsi="Tahoma" w:cs="Tahoma"/>
          <w:sz w:val="16"/>
          <w:szCs w:val="16"/>
          <w:lang w:val="sl-SI"/>
        </w:rPr>
        <w:t>gozdna območja, ki so ključna za tradicionalno kulturno identiteto lokalnih skupnosti (območja kulturnega, ekološkega, gospodarskega ali verskega pomena, opredeljena v sodelovanju z lokalnimi skupnostmi).</w:t>
      </w:r>
    </w:p>
  </w:footnote>
  <w:footnote w:id="5">
    <w:p w14:paraId="42CCB392" w14:textId="77777777" w:rsidR="005D46C2" w:rsidRPr="005C79F6" w:rsidRDefault="005D46C2" w:rsidP="005D46C2">
      <w:pPr>
        <w:pStyle w:val="FootnoteText"/>
        <w:jc w:val="both"/>
        <w:rPr>
          <w:rFonts w:ascii="Tahoma" w:hAnsi="Tahoma" w:cs="Tahoma"/>
          <w:sz w:val="16"/>
          <w:szCs w:val="16"/>
          <w:lang w:val="sl-SI"/>
        </w:rPr>
      </w:pPr>
      <w:r w:rsidRPr="005C79F6">
        <w:rPr>
          <w:rStyle w:val="FootnoteReference"/>
          <w:rFonts w:ascii="Tahoma" w:hAnsi="Tahoma" w:cs="Tahoma"/>
          <w:sz w:val="16"/>
          <w:szCs w:val="16"/>
        </w:rPr>
        <w:footnoteRef/>
      </w:r>
      <w:r w:rsidRPr="005C79F6">
        <w:rPr>
          <w:rFonts w:ascii="Tahoma" w:hAnsi="Tahoma" w:cs="Tahoma"/>
          <w:sz w:val="16"/>
          <w:szCs w:val="16"/>
          <w:lang w:val="sl-SI"/>
        </w:rPr>
        <w:t xml:space="preserve"> Globokomorsko okolje je opredeljeno kot območje oceanov pod globino 200 metrov — Mednarodni organ za morsko dno in globokomorsko rudarjenje, Združeni narodi.</w:t>
      </w:r>
    </w:p>
  </w:footnote>
  <w:footnote w:id="6">
    <w:p w14:paraId="4211B1F5" w14:textId="77777777" w:rsidR="005D46C2" w:rsidRPr="005C79F6" w:rsidRDefault="005D46C2" w:rsidP="005D46C2">
      <w:pPr>
        <w:pStyle w:val="FootnoteText"/>
        <w:jc w:val="both"/>
        <w:rPr>
          <w:rFonts w:ascii="Tahoma" w:hAnsi="Tahoma" w:cs="Tahoma"/>
          <w:lang w:val="sl-SI"/>
        </w:rPr>
      </w:pPr>
      <w:r w:rsidRPr="005C79F6">
        <w:rPr>
          <w:rStyle w:val="FootnoteReference"/>
          <w:rFonts w:ascii="Tahoma" w:hAnsi="Tahoma" w:cs="Tahoma"/>
          <w:sz w:val="16"/>
          <w:szCs w:val="16"/>
        </w:rPr>
        <w:footnoteRef/>
      </w:r>
      <w:r w:rsidRPr="005C79F6">
        <w:rPr>
          <w:rFonts w:ascii="Tahoma" w:hAnsi="Tahoma" w:cs="Tahoma"/>
          <w:lang w:val="sl-SI"/>
        </w:rPr>
        <w:t xml:space="preserve"> </w:t>
      </w:r>
      <w:r w:rsidRPr="005C79F6">
        <w:rPr>
          <w:rFonts w:ascii="Tahoma" w:hAnsi="Tahoma" w:cs="Tahoma"/>
          <w:sz w:val="16"/>
          <w:szCs w:val="16"/>
          <w:lang w:val="sl-SI"/>
        </w:rPr>
        <w:t>Minerali in kovine, zajeti v Uredbi (EU) 2017/821 o določitvi dolžnosti skrbnega pregleda dobavne verige za uvoznike kositra, tantala in volframa, njihovih rud ter zlata iz območij, prizadetih zaradi konfliktov in območij z visokim tveganjem, z vsemi spremembami.</w:t>
      </w:r>
    </w:p>
  </w:footnote>
  <w:footnote w:id="7">
    <w:p w14:paraId="3BE4D1EE" w14:textId="77777777" w:rsidR="005D46C2" w:rsidRPr="005C79F6" w:rsidRDefault="005D46C2" w:rsidP="005D46C2">
      <w:pPr>
        <w:pStyle w:val="FootnoteText"/>
        <w:jc w:val="both"/>
        <w:rPr>
          <w:rFonts w:ascii="Tahoma" w:hAnsi="Tahoma" w:cs="Tahoma"/>
          <w:lang w:val="sl-SI"/>
        </w:rPr>
      </w:pPr>
      <w:r w:rsidRPr="005C79F6">
        <w:rPr>
          <w:rStyle w:val="FootnoteReference"/>
          <w:rFonts w:ascii="Tahoma" w:hAnsi="Tahoma" w:cs="Tahoma"/>
          <w:sz w:val="16"/>
          <w:szCs w:val="16"/>
        </w:rPr>
        <w:footnoteRef/>
      </w:r>
      <w:r w:rsidRPr="005C79F6">
        <w:rPr>
          <w:rFonts w:ascii="Tahoma" w:hAnsi="Tahoma" w:cs="Tahoma"/>
          <w:lang w:val="sl-SI"/>
        </w:rPr>
        <w:t xml:space="preserve"> </w:t>
      </w:r>
      <w:r w:rsidRPr="005C79F6">
        <w:rPr>
          <w:rFonts w:ascii="Tahoma" w:hAnsi="Tahoma" w:cs="Tahoma"/>
          <w:sz w:val="16"/>
          <w:szCs w:val="16"/>
          <w:lang w:val="sl-SI"/>
        </w:rPr>
        <w:t>Razen če je v skladu z Direktivo 2010/63/EU Evropskega parlamenta in Sveta o zaščiti živali, ki se uporabljajo v znanstvene namene, kakor je bila spremenjena z Uredbo (EU) 2019/1010.</w:t>
      </w:r>
    </w:p>
  </w:footnote>
  <w:footnote w:id="8">
    <w:p w14:paraId="54566DB4" w14:textId="77777777" w:rsidR="005D46C2" w:rsidRPr="0046154D" w:rsidRDefault="005D46C2" w:rsidP="005D46C2">
      <w:pPr>
        <w:pStyle w:val="FootnoteText"/>
        <w:jc w:val="both"/>
        <w:rPr>
          <w:rFonts w:ascii="Tahoma" w:hAnsi="Tahoma" w:cs="Tahoma"/>
          <w:sz w:val="16"/>
          <w:szCs w:val="16"/>
          <w:lang w:val="sl-SI"/>
        </w:rPr>
      </w:pPr>
      <w:r w:rsidRPr="005C79F6">
        <w:rPr>
          <w:rStyle w:val="FootnoteReference"/>
          <w:rFonts w:ascii="Tahoma" w:hAnsi="Tahoma" w:cs="Tahoma"/>
          <w:sz w:val="16"/>
          <w:szCs w:val="16"/>
        </w:rPr>
        <w:footnoteRef/>
      </w:r>
      <w:r w:rsidRPr="005C79F6">
        <w:rPr>
          <w:rFonts w:ascii="Tahoma" w:hAnsi="Tahoma" w:cs="Tahoma"/>
          <w:lang w:val="sl-SI"/>
        </w:rPr>
        <w:t xml:space="preserve"> </w:t>
      </w:r>
      <w:r w:rsidRPr="0046154D">
        <w:rPr>
          <w:rFonts w:ascii="Tahoma" w:hAnsi="Tahoma" w:cs="Tahoma"/>
          <w:sz w:val="16"/>
          <w:szCs w:val="16"/>
          <w:lang w:val="sl-SI"/>
        </w:rPr>
        <w:t>NACE šifre: NACE 01.15 – Gojenje tobaka, NACE 12.00 – Proizvodnja tobačnih izdelkov, NACE 46.35 – Trgovina na debelo s tobačnimi izdelki, NACE 47.26 – Trgovina na drobno s tobačnimi izdelki v specializiranih prodajalnah.</w:t>
      </w:r>
    </w:p>
  </w:footnote>
  <w:footnote w:id="9">
    <w:p w14:paraId="12BB6EDB" w14:textId="77777777" w:rsidR="005D46C2" w:rsidRPr="000E4F37" w:rsidRDefault="005D46C2" w:rsidP="005D46C2">
      <w:pPr>
        <w:pStyle w:val="NormalWeb"/>
        <w:spacing w:before="0" w:beforeAutospacing="0"/>
        <w:jc w:val="both"/>
        <w:rPr>
          <w:rFonts w:ascii="Tahoma" w:hAnsi="Tahoma" w:cs="Tahoma"/>
          <w:sz w:val="16"/>
          <w:szCs w:val="16"/>
        </w:rPr>
      </w:pPr>
      <w:r w:rsidRPr="000E4F37">
        <w:rPr>
          <w:rStyle w:val="FootnoteReference"/>
          <w:rFonts w:ascii="Tahoma" w:hAnsi="Tahoma" w:cs="Tahoma"/>
          <w:sz w:val="16"/>
          <w:szCs w:val="16"/>
        </w:rPr>
        <w:footnoteRef/>
      </w:r>
      <w:r w:rsidRPr="000E4F37">
        <w:rPr>
          <w:rFonts w:ascii="Tahoma" w:hAnsi="Tahoma" w:cs="Tahoma"/>
          <w:sz w:val="16"/>
          <w:szCs w:val="16"/>
        </w:rPr>
        <w:t xml:space="preserve"> NACE šifra: NACE 92.00 – Dejavnosti iger na srečo in stav.</w:t>
      </w:r>
    </w:p>
    <w:p w14:paraId="3B988094" w14:textId="77777777" w:rsidR="005D46C2" w:rsidRPr="00B85477" w:rsidRDefault="005D46C2" w:rsidP="005D46C2">
      <w:pPr>
        <w:pStyle w:val="FootnoteText"/>
        <w:rPr>
          <w:lang w:val="sl-SI"/>
        </w:rPr>
      </w:pPr>
    </w:p>
  </w:footnote>
  <w:footnote w:id="10">
    <w:p w14:paraId="6489905F" w14:textId="77777777" w:rsidR="005D46C2" w:rsidRPr="005C79F6" w:rsidRDefault="005D46C2" w:rsidP="005D46C2">
      <w:pPr>
        <w:pStyle w:val="FootnoteText"/>
        <w:jc w:val="both"/>
        <w:rPr>
          <w:rFonts w:ascii="Tahoma" w:hAnsi="Tahoma" w:cs="Tahoma"/>
          <w:sz w:val="16"/>
          <w:szCs w:val="16"/>
          <w:lang w:val="sl-SI"/>
        </w:rPr>
      </w:pPr>
      <w:r w:rsidRPr="005C79F6">
        <w:rPr>
          <w:rStyle w:val="FootnoteReference"/>
          <w:rFonts w:ascii="Tahoma" w:hAnsi="Tahoma" w:cs="Tahoma"/>
          <w:sz w:val="16"/>
          <w:szCs w:val="16"/>
        </w:rPr>
        <w:footnoteRef/>
      </w:r>
      <w:r w:rsidRPr="005C79F6">
        <w:rPr>
          <w:rFonts w:ascii="Tahoma" w:hAnsi="Tahoma" w:cs="Tahoma"/>
          <w:sz w:val="16"/>
          <w:szCs w:val="16"/>
          <w:lang w:val="sl-SI"/>
        </w:rPr>
        <w:t xml:space="preserve"> Ta omejitev se ne uporablja za elektrarne na biomaso.</w:t>
      </w:r>
    </w:p>
  </w:footnote>
  <w:footnote w:id="11">
    <w:p w14:paraId="0C7467DA" w14:textId="77777777" w:rsidR="005D46C2" w:rsidRPr="005C79F6" w:rsidRDefault="005D46C2" w:rsidP="005D46C2">
      <w:pPr>
        <w:pStyle w:val="FootnoteText"/>
        <w:jc w:val="both"/>
        <w:rPr>
          <w:rFonts w:ascii="Tahoma" w:hAnsi="Tahoma" w:cs="Tahoma"/>
          <w:lang w:val="sl-SI"/>
        </w:rPr>
      </w:pPr>
      <w:r w:rsidRPr="005C79F6">
        <w:rPr>
          <w:rStyle w:val="FootnoteReference"/>
          <w:rFonts w:ascii="Tahoma" w:hAnsi="Tahoma" w:cs="Tahoma"/>
          <w:sz w:val="16"/>
          <w:szCs w:val="16"/>
        </w:rPr>
        <w:footnoteRef/>
      </w:r>
      <w:r w:rsidRPr="005C79F6">
        <w:rPr>
          <w:rFonts w:ascii="Tahoma" w:hAnsi="Tahoma" w:cs="Tahoma"/>
          <w:lang w:val="sl-SI"/>
        </w:rPr>
        <w:t xml:space="preserve"> </w:t>
      </w:r>
      <w:r w:rsidRPr="005C79F6">
        <w:rPr>
          <w:rFonts w:ascii="Tahoma" w:hAnsi="Tahoma" w:cs="Tahoma"/>
          <w:sz w:val="16"/>
          <w:szCs w:val="16"/>
          <w:lang w:val="sl-SI"/>
        </w:rPr>
        <w:t>Projekti v okviru oddelka B nomenklature NACE (Rev. 2), z izjemo NACE B8.1 – Pridobivanje kamna, peska in gline (vključno z NACE B8.1.1 – Pridobivanje okrasnega in gradbenega kamna, apnenca, sadre, krede in skrilavca; ter NACE B8.1.2 – Obratovanje peskokopov in gramoznic; pridobivanje gline in kaolina).</w:t>
      </w:r>
    </w:p>
  </w:footnote>
  <w:footnote w:id="12">
    <w:p w14:paraId="68C0D9C7" w14:textId="77777777" w:rsidR="005D46C2" w:rsidRPr="005C79F6" w:rsidRDefault="005D46C2" w:rsidP="005D46C2">
      <w:pPr>
        <w:pStyle w:val="FootnoteText"/>
        <w:jc w:val="both"/>
        <w:rPr>
          <w:rFonts w:ascii="Tahoma" w:hAnsi="Tahoma" w:cs="Tahoma"/>
          <w:lang w:val="sl-SI"/>
        </w:rPr>
      </w:pPr>
      <w:r w:rsidRPr="005C79F6">
        <w:rPr>
          <w:rStyle w:val="FootnoteReference"/>
          <w:rFonts w:ascii="Tahoma" w:hAnsi="Tahoma" w:cs="Tahoma"/>
          <w:sz w:val="16"/>
          <w:szCs w:val="16"/>
        </w:rPr>
        <w:footnoteRef/>
      </w:r>
      <w:r w:rsidRPr="005C79F6">
        <w:rPr>
          <w:rFonts w:ascii="Tahoma" w:hAnsi="Tahoma" w:cs="Tahoma"/>
          <w:lang w:val="sl-SI"/>
        </w:rPr>
        <w:t xml:space="preserve"> </w:t>
      </w:r>
      <w:r w:rsidRPr="005C79F6">
        <w:rPr>
          <w:rFonts w:ascii="Tahoma" w:hAnsi="Tahoma" w:cs="Tahoma"/>
          <w:sz w:val="16"/>
          <w:szCs w:val="16"/>
          <w:lang w:val="sl-SI"/>
        </w:rPr>
        <w:t>Projekti (vključno z opremo ali infrastrukturo), ki imajo potencial za dvojno rabo – tako v civilne kot vojaške/policijske namene – niso predmet omejitve.</w:t>
      </w:r>
    </w:p>
  </w:footnote>
  <w:footnote w:id="13">
    <w:p w14:paraId="496FA15A" w14:textId="77777777" w:rsidR="005D46C2" w:rsidRPr="005C79F6" w:rsidRDefault="005D46C2" w:rsidP="005D46C2">
      <w:pPr>
        <w:pStyle w:val="FootnoteText"/>
        <w:rPr>
          <w:rFonts w:ascii="Tahoma" w:hAnsi="Tahoma" w:cs="Tahoma"/>
          <w:sz w:val="16"/>
          <w:szCs w:val="16"/>
          <w:lang w:val="sl-SI"/>
        </w:rPr>
      </w:pPr>
      <w:r w:rsidRPr="005C79F6">
        <w:rPr>
          <w:rFonts w:ascii="Tahoma" w:hAnsi="Tahoma" w:cs="Tahoma"/>
          <w:sz w:val="16"/>
          <w:szCs w:val="16"/>
          <w:vertAlign w:val="superscript"/>
          <w:lang w:val="sl-SI"/>
        </w:rPr>
        <w:footnoteRef/>
      </w:r>
      <w:r w:rsidRPr="005C79F6">
        <w:rPr>
          <w:rFonts w:ascii="Tahoma" w:hAnsi="Tahoma" w:cs="Tahoma"/>
          <w:sz w:val="16"/>
          <w:szCs w:val="16"/>
          <w:lang w:val="sl-SI"/>
        </w:rPr>
        <w:t xml:space="preserve"> Za vozila izdelana pred 1. 9. 2019 se za določitev emisij uporablja pretvornik 1.21 med standardom NEDC in WLTP.</w:t>
      </w:r>
    </w:p>
  </w:footnote>
  <w:footnote w:id="14">
    <w:p w14:paraId="5A8DCF69" w14:textId="77777777" w:rsidR="005D46C2" w:rsidRPr="005C79F6" w:rsidRDefault="005D46C2" w:rsidP="005D46C2">
      <w:pPr>
        <w:pStyle w:val="FootnoteText"/>
        <w:rPr>
          <w:rFonts w:ascii="Tahoma" w:hAnsi="Tahoma" w:cs="Tahoma"/>
          <w:sz w:val="16"/>
          <w:szCs w:val="16"/>
          <w:lang w:val="sl-SI"/>
        </w:rPr>
      </w:pPr>
      <w:r w:rsidRPr="005C79F6">
        <w:rPr>
          <w:rFonts w:ascii="Tahoma" w:hAnsi="Tahoma" w:cs="Tahoma"/>
          <w:sz w:val="16"/>
          <w:szCs w:val="16"/>
          <w:vertAlign w:val="superscript"/>
          <w:lang w:val="sl-SI"/>
        </w:rPr>
        <w:footnoteRef/>
      </w:r>
      <w:r w:rsidRPr="005C79F6">
        <w:rPr>
          <w:rFonts w:ascii="Tahoma" w:hAnsi="Tahoma" w:cs="Tahoma"/>
          <w:sz w:val="16"/>
          <w:szCs w:val="16"/>
          <w:lang w:val="sl-SI"/>
        </w:rPr>
        <w:t xml:space="preserve"> Za vozila izdelana pred 1. 9. 2019 se za določitev emisij uporablja pretvornik 1.21 med standardom NEDC in WLTP.</w:t>
      </w:r>
    </w:p>
  </w:footnote>
  <w:footnote w:id="15">
    <w:p w14:paraId="0D5AE78F" w14:textId="77777777" w:rsidR="005D46C2" w:rsidRPr="005C79F6" w:rsidRDefault="005D46C2" w:rsidP="005D46C2">
      <w:pPr>
        <w:pStyle w:val="FootnoteText"/>
        <w:rPr>
          <w:rFonts w:ascii="Tahoma" w:hAnsi="Tahoma" w:cs="Tahoma"/>
          <w:sz w:val="16"/>
          <w:szCs w:val="16"/>
          <w:lang w:val="sl-SI"/>
        </w:rPr>
      </w:pPr>
      <w:r w:rsidRPr="005C79F6">
        <w:rPr>
          <w:rFonts w:ascii="Tahoma" w:hAnsi="Tahoma" w:cs="Tahoma"/>
          <w:sz w:val="16"/>
          <w:szCs w:val="16"/>
          <w:vertAlign w:val="superscript"/>
          <w:lang w:val="sl-SI"/>
        </w:rPr>
        <w:footnoteRef/>
      </w:r>
      <w:r w:rsidRPr="005C79F6">
        <w:rPr>
          <w:rFonts w:ascii="Tahoma" w:hAnsi="Tahoma" w:cs="Tahoma"/>
          <w:sz w:val="16"/>
          <w:szCs w:val="16"/>
          <w:lang w:val="sl-SI"/>
        </w:rPr>
        <w:t xml:space="preserve"> GVW = Gross </w:t>
      </w:r>
      <w:proofErr w:type="spellStart"/>
      <w:r w:rsidRPr="005C79F6">
        <w:rPr>
          <w:rFonts w:ascii="Tahoma" w:hAnsi="Tahoma" w:cs="Tahoma"/>
          <w:sz w:val="16"/>
          <w:szCs w:val="16"/>
          <w:lang w:val="sl-SI"/>
        </w:rPr>
        <w:t>Vehicle</w:t>
      </w:r>
      <w:proofErr w:type="spellEnd"/>
      <w:r w:rsidRPr="005C79F6">
        <w:rPr>
          <w:rFonts w:ascii="Tahoma" w:hAnsi="Tahoma" w:cs="Tahoma"/>
          <w:sz w:val="16"/>
          <w:szCs w:val="16"/>
          <w:lang w:val="sl-SI"/>
        </w:rPr>
        <w:t xml:space="preserve"> </w:t>
      </w:r>
      <w:proofErr w:type="spellStart"/>
      <w:r w:rsidRPr="005C79F6">
        <w:rPr>
          <w:rFonts w:ascii="Tahoma" w:hAnsi="Tahoma" w:cs="Tahoma"/>
          <w:sz w:val="16"/>
          <w:szCs w:val="16"/>
          <w:lang w:val="sl-SI"/>
        </w:rPr>
        <w:t>Weight</w:t>
      </w:r>
      <w:proofErr w:type="spellEnd"/>
    </w:p>
  </w:footnote>
  <w:footnote w:id="16">
    <w:p w14:paraId="73720873" w14:textId="77777777" w:rsidR="005D46C2" w:rsidRPr="005C79F6" w:rsidRDefault="005D46C2" w:rsidP="005D46C2">
      <w:pPr>
        <w:pStyle w:val="FootnoteText"/>
        <w:rPr>
          <w:rFonts w:ascii="Tahoma" w:hAnsi="Tahoma" w:cs="Tahoma"/>
          <w:sz w:val="16"/>
          <w:szCs w:val="16"/>
          <w:lang w:val="sl-SI"/>
        </w:rPr>
      </w:pPr>
      <w:r w:rsidRPr="005C79F6">
        <w:rPr>
          <w:rFonts w:ascii="Tahoma" w:hAnsi="Tahoma" w:cs="Tahoma"/>
          <w:sz w:val="16"/>
          <w:szCs w:val="16"/>
          <w:vertAlign w:val="superscript"/>
          <w:lang w:val="sl-SI"/>
        </w:rPr>
        <w:footnoteRef/>
      </w:r>
      <w:r w:rsidRPr="005C79F6">
        <w:rPr>
          <w:rFonts w:ascii="Tahoma" w:hAnsi="Tahoma" w:cs="Tahoma"/>
          <w:sz w:val="16"/>
          <w:szCs w:val="16"/>
          <w:lang w:val="sl-SI"/>
        </w:rPr>
        <w:t xml:space="preserve"> UD = Urban </w:t>
      </w:r>
      <w:proofErr w:type="spellStart"/>
      <w:r w:rsidRPr="005C79F6">
        <w:rPr>
          <w:rFonts w:ascii="Tahoma" w:hAnsi="Tahoma" w:cs="Tahoma"/>
          <w:sz w:val="16"/>
          <w:szCs w:val="16"/>
          <w:lang w:val="sl-SI"/>
        </w:rPr>
        <w:t>delivery</w:t>
      </w:r>
      <w:proofErr w:type="spellEnd"/>
      <w:r w:rsidRPr="005C79F6">
        <w:rPr>
          <w:rFonts w:ascii="Tahoma" w:hAnsi="Tahoma" w:cs="Tahoma"/>
          <w:sz w:val="16"/>
          <w:szCs w:val="16"/>
          <w:lang w:val="sl-SI"/>
        </w:rPr>
        <w:t xml:space="preserve">, RD = </w:t>
      </w:r>
      <w:proofErr w:type="spellStart"/>
      <w:r w:rsidRPr="005C79F6">
        <w:rPr>
          <w:rFonts w:ascii="Tahoma" w:hAnsi="Tahoma" w:cs="Tahoma"/>
          <w:sz w:val="16"/>
          <w:szCs w:val="16"/>
          <w:lang w:val="sl-SI"/>
        </w:rPr>
        <w:t>Regional</w:t>
      </w:r>
      <w:proofErr w:type="spellEnd"/>
      <w:r w:rsidRPr="005C79F6">
        <w:rPr>
          <w:rFonts w:ascii="Tahoma" w:hAnsi="Tahoma" w:cs="Tahoma"/>
          <w:sz w:val="16"/>
          <w:szCs w:val="16"/>
          <w:lang w:val="sl-SI"/>
        </w:rPr>
        <w:t xml:space="preserve"> </w:t>
      </w:r>
      <w:proofErr w:type="spellStart"/>
      <w:r w:rsidRPr="005C79F6">
        <w:rPr>
          <w:rFonts w:ascii="Tahoma" w:hAnsi="Tahoma" w:cs="Tahoma"/>
          <w:sz w:val="16"/>
          <w:szCs w:val="16"/>
          <w:lang w:val="sl-SI"/>
        </w:rPr>
        <w:t>delivery</w:t>
      </w:r>
      <w:proofErr w:type="spellEnd"/>
      <w:r w:rsidRPr="005C79F6">
        <w:rPr>
          <w:rFonts w:ascii="Tahoma" w:hAnsi="Tahoma" w:cs="Tahoma"/>
          <w:sz w:val="16"/>
          <w:szCs w:val="16"/>
          <w:lang w:val="sl-SI"/>
        </w:rPr>
        <w:t xml:space="preserve"> and LH = Long </w:t>
      </w:r>
      <w:proofErr w:type="spellStart"/>
      <w:r w:rsidRPr="005C79F6">
        <w:rPr>
          <w:rFonts w:ascii="Tahoma" w:hAnsi="Tahoma" w:cs="Tahoma"/>
          <w:sz w:val="16"/>
          <w:szCs w:val="16"/>
          <w:lang w:val="sl-SI"/>
        </w:rPr>
        <w:t>Haul</w:t>
      </w:r>
      <w:proofErr w:type="spellEnd"/>
    </w:p>
  </w:footnote>
  <w:footnote w:id="17">
    <w:p w14:paraId="78BB2A1F" w14:textId="77777777" w:rsidR="005D46C2" w:rsidRPr="005C79F6" w:rsidRDefault="005D46C2" w:rsidP="005D46C2">
      <w:pPr>
        <w:pStyle w:val="FootnoteText"/>
        <w:rPr>
          <w:lang w:val="sl-SI"/>
        </w:rPr>
      </w:pPr>
      <w:r w:rsidRPr="005C79F6">
        <w:rPr>
          <w:rFonts w:ascii="Tahoma" w:hAnsi="Tahoma" w:cs="Tahoma"/>
          <w:sz w:val="16"/>
          <w:szCs w:val="16"/>
          <w:vertAlign w:val="superscript"/>
          <w:lang w:val="sl-SI"/>
        </w:rPr>
        <w:footnoteRef/>
      </w:r>
      <w:r w:rsidRPr="005C79F6">
        <w:rPr>
          <w:rFonts w:ascii="Tahoma" w:hAnsi="Tahoma" w:cs="Tahoma"/>
          <w:sz w:val="16"/>
          <w:szCs w:val="16"/>
          <w:lang w:val="sl-SI"/>
        </w:rPr>
        <w:t xml:space="preserve"> Vlečna vozila izdelana izključno ali prvenstveno za vleko polpriklopnikov.</w:t>
      </w:r>
    </w:p>
  </w:footnote>
  <w:footnote w:id="18">
    <w:p w14:paraId="3F4BDB53" w14:textId="77777777" w:rsidR="005D46C2" w:rsidRPr="005C79F6" w:rsidRDefault="005D46C2" w:rsidP="005D46C2">
      <w:pPr>
        <w:pStyle w:val="FootnoteText"/>
        <w:jc w:val="both"/>
        <w:rPr>
          <w:rFonts w:ascii="Tahoma" w:hAnsi="Tahoma" w:cs="Tahoma"/>
          <w:sz w:val="16"/>
          <w:szCs w:val="16"/>
          <w:lang w:val="sl-SI"/>
        </w:rPr>
      </w:pPr>
      <w:r w:rsidRPr="005C79F6">
        <w:rPr>
          <w:rFonts w:ascii="Tahoma" w:hAnsi="Tahoma" w:cs="Tahoma"/>
          <w:sz w:val="16"/>
          <w:szCs w:val="16"/>
          <w:vertAlign w:val="superscript"/>
          <w:lang w:val="sl-SI"/>
        </w:rPr>
        <w:footnoteRef/>
      </w:r>
      <w:r w:rsidRPr="005C79F6">
        <w:rPr>
          <w:rFonts w:ascii="Tahoma" w:hAnsi="Tahoma" w:cs="Tahoma"/>
          <w:sz w:val="16"/>
          <w:szCs w:val="16"/>
          <w:lang w:val="sl-SI"/>
        </w:rPr>
        <w:t xml:space="preserve"> </w:t>
      </w:r>
      <w:proofErr w:type="spellStart"/>
      <w:r w:rsidRPr="005C79F6">
        <w:rPr>
          <w:rFonts w:ascii="Tahoma" w:hAnsi="Tahoma" w:cs="Tahoma"/>
          <w:sz w:val="16"/>
          <w:szCs w:val="16"/>
          <w:lang w:val="sl-SI"/>
        </w:rPr>
        <w:t>Biogoriva</w:t>
      </w:r>
      <w:proofErr w:type="spellEnd"/>
      <w:r w:rsidRPr="005C79F6">
        <w:rPr>
          <w:rFonts w:ascii="Tahoma" w:hAnsi="Tahoma" w:cs="Tahoma"/>
          <w:sz w:val="16"/>
          <w:szCs w:val="16"/>
          <w:lang w:val="sl-SI"/>
        </w:rPr>
        <w:t xml:space="preserve"> v skladu z Direktivo o spodbujanju energije iz obnovljivih virov (RED) II z nizkim tveganjem posredne spremembe rabe zemljišč.</w:t>
      </w:r>
    </w:p>
  </w:footnote>
  <w:footnote w:id="19">
    <w:p w14:paraId="5C29E6ED" w14:textId="77777777" w:rsidR="005D46C2" w:rsidRPr="005C79F6" w:rsidRDefault="005D46C2" w:rsidP="005D46C2">
      <w:pPr>
        <w:pStyle w:val="FootnoteText"/>
        <w:jc w:val="both"/>
        <w:rPr>
          <w:rFonts w:ascii="Tahoma" w:hAnsi="Tahoma" w:cs="Tahoma"/>
          <w:sz w:val="16"/>
          <w:szCs w:val="16"/>
          <w:lang w:val="sl-SI"/>
        </w:rPr>
      </w:pPr>
      <w:r w:rsidRPr="005C79F6">
        <w:rPr>
          <w:rFonts w:ascii="Tahoma" w:hAnsi="Tahoma" w:cs="Tahoma"/>
          <w:sz w:val="16"/>
          <w:szCs w:val="16"/>
          <w:vertAlign w:val="superscript"/>
          <w:lang w:val="sl-SI"/>
        </w:rPr>
        <w:footnoteRef/>
      </w:r>
      <w:r w:rsidRPr="005C79F6">
        <w:rPr>
          <w:rFonts w:ascii="Tahoma" w:hAnsi="Tahoma" w:cs="Tahoma"/>
          <w:sz w:val="16"/>
          <w:szCs w:val="16"/>
          <w:vertAlign w:val="superscript"/>
          <w:lang w:val="sl-SI"/>
        </w:rPr>
        <w:t xml:space="preserve"> </w:t>
      </w:r>
      <w:r w:rsidRPr="005C79F6">
        <w:rPr>
          <w:rFonts w:ascii="Tahoma" w:hAnsi="Tahoma" w:cs="Tahoma"/>
          <w:sz w:val="16"/>
          <w:szCs w:val="16"/>
          <w:lang w:val="sl-SI"/>
        </w:rPr>
        <w:t>Vključuje plovila za luške operacije in pomožne dejavnosti.</w:t>
      </w:r>
    </w:p>
  </w:footnote>
  <w:footnote w:id="20">
    <w:p w14:paraId="4E8D01E4" w14:textId="77777777" w:rsidR="005D46C2" w:rsidRPr="005C79F6" w:rsidRDefault="005D46C2" w:rsidP="005D46C2">
      <w:pPr>
        <w:pStyle w:val="FootnoteText"/>
        <w:jc w:val="both"/>
        <w:rPr>
          <w:rFonts w:ascii="Tahoma" w:hAnsi="Tahoma" w:cs="Tahoma"/>
          <w:sz w:val="16"/>
          <w:szCs w:val="16"/>
          <w:lang w:val="sl-SI"/>
        </w:rPr>
      </w:pPr>
      <w:r w:rsidRPr="005C79F6">
        <w:rPr>
          <w:rFonts w:ascii="Tahoma" w:hAnsi="Tahoma" w:cs="Tahoma"/>
          <w:sz w:val="16"/>
          <w:szCs w:val="16"/>
          <w:vertAlign w:val="superscript"/>
          <w:lang w:val="sl-SI"/>
        </w:rPr>
        <w:footnoteRef/>
      </w:r>
      <w:r w:rsidRPr="005C79F6">
        <w:rPr>
          <w:rFonts w:ascii="Tahoma" w:hAnsi="Tahoma" w:cs="Tahoma"/>
          <w:sz w:val="16"/>
          <w:szCs w:val="16"/>
          <w:vertAlign w:val="superscript"/>
          <w:lang w:val="sl-SI"/>
        </w:rPr>
        <w:t xml:space="preserve"> </w:t>
      </w:r>
      <w:r w:rsidRPr="005C79F6">
        <w:rPr>
          <w:rFonts w:ascii="Tahoma" w:hAnsi="Tahoma" w:cs="Tahoma"/>
          <w:sz w:val="16"/>
          <w:szCs w:val="16"/>
          <w:lang w:val="sl-SI"/>
        </w:rPr>
        <w:t xml:space="preserve">Zahteve EEDI v skladu s 75. sejo “Marine </w:t>
      </w:r>
      <w:proofErr w:type="spellStart"/>
      <w:r w:rsidRPr="005C79F6">
        <w:rPr>
          <w:rFonts w:ascii="Tahoma" w:hAnsi="Tahoma" w:cs="Tahoma"/>
          <w:sz w:val="16"/>
          <w:szCs w:val="16"/>
          <w:lang w:val="sl-SI"/>
        </w:rPr>
        <w:t>Environment</w:t>
      </w:r>
      <w:proofErr w:type="spellEnd"/>
      <w:r w:rsidRPr="005C79F6">
        <w:rPr>
          <w:rFonts w:ascii="Tahoma" w:hAnsi="Tahoma" w:cs="Tahoma"/>
          <w:sz w:val="16"/>
          <w:szCs w:val="16"/>
          <w:lang w:val="sl-SI"/>
        </w:rPr>
        <w:t xml:space="preserve"> </w:t>
      </w:r>
      <w:proofErr w:type="spellStart"/>
      <w:r w:rsidRPr="005C79F6">
        <w:rPr>
          <w:rFonts w:ascii="Tahoma" w:hAnsi="Tahoma" w:cs="Tahoma"/>
          <w:sz w:val="16"/>
          <w:szCs w:val="16"/>
          <w:lang w:val="sl-SI"/>
        </w:rPr>
        <w:t>Protection</w:t>
      </w:r>
      <w:proofErr w:type="spellEnd"/>
      <w:r w:rsidRPr="005C79F6">
        <w:rPr>
          <w:rFonts w:ascii="Tahoma" w:hAnsi="Tahoma" w:cs="Tahoma"/>
          <w:sz w:val="16"/>
          <w:szCs w:val="16"/>
          <w:lang w:val="sl-SI"/>
        </w:rPr>
        <w:t xml:space="preserve"> </w:t>
      </w:r>
      <w:proofErr w:type="spellStart"/>
      <w:r w:rsidRPr="005C79F6">
        <w:rPr>
          <w:rFonts w:ascii="Tahoma" w:hAnsi="Tahoma" w:cs="Tahoma"/>
          <w:sz w:val="16"/>
          <w:szCs w:val="16"/>
          <w:lang w:val="sl-SI"/>
        </w:rPr>
        <w:t>Committee</w:t>
      </w:r>
      <w:proofErr w:type="spellEnd"/>
      <w:r w:rsidRPr="005C79F6">
        <w:rPr>
          <w:rFonts w:ascii="Tahoma" w:hAnsi="Tahoma" w:cs="Tahoma"/>
          <w:sz w:val="16"/>
          <w:szCs w:val="16"/>
          <w:lang w:val="sl-SI"/>
        </w:rPr>
        <w:t xml:space="preserve"> </w:t>
      </w:r>
      <w:proofErr w:type="spellStart"/>
      <w:r w:rsidRPr="005C79F6">
        <w:rPr>
          <w:rFonts w:ascii="Tahoma" w:hAnsi="Tahoma" w:cs="Tahoma"/>
          <w:sz w:val="16"/>
          <w:szCs w:val="16"/>
          <w:lang w:val="sl-SI"/>
        </w:rPr>
        <w:t>of</w:t>
      </w:r>
      <w:proofErr w:type="spellEnd"/>
      <w:r w:rsidRPr="005C79F6">
        <w:rPr>
          <w:rFonts w:ascii="Tahoma" w:hAnsi="Tahoma" w:cs="Tahoma"/>
          <w:sz w:val="16"/>
          <w:szCs w:val="16"/>
          <w:lang w:val="sl-SI"/>
        </w:rPr>
        <w:t xml:space="preserve"> </w:t>
      </w:r>
      <w:proofErr w:type="spellStart"/>
      <w:r w:rsidRPr="005C79F6">
        <w:rPr>
          <w:rFonts w:ascii="Tahoma" w:hAnsi="Tahoma" w:cs="Tahoma"/>
          <w:sz w:val="16"/>
          <w:szCs w:val="16"/>
          <w:lang w:val="sl-SI"/>
        </w:rPr>
        <w:t>the</w:t>
      </w:r>
      <w:proofErr w:type="spellEnd"/>
      <w:r w:rsidRPr="005C79F6">
        <w:rPr>
          <w:rFonts w:ascii="Tahoma" w:hAnsi="Tahoma" w:cs="Tahoma"/>
          <w:sz w:val="16"/>
          <w:szCs w:val="16"/>
          <w:lang w:val="sl-SI"/>
        </w:rPr>
        <w:t xml:space="preserve"> International </w:t>
      </w:r>
      <w:proofErr w:type="spellStart"/>
      <w:r w:rsidRPr="005C79F6">
        <w:rPr>
          <w:rFonts w:ascii="Tahoma" w:hAnsi="Tahoma" w:cs="Tahoma"/>
          <w:sz w:val="16"/>
          <w:szCs w:val="16"/>
          <w:lang w:val="sl-SI"/>
        </w:rPr>
        <w:t>Maritime</w:t>
      </w:r>
      <w:proofErr w:type="spellEnd"/>
      <w:r w:rsidRPr="005C79F6">
        <w:rPr>
          <w:rFonts w:ascii="Tahoma" w:hAnsi="Tahoma" w:cs="Tahoma"/>
          <w:sz w:val="16"/>
          <w:szCs w:val="16"/>
          <w:lang w:val="sl-SI"/>
        </w:rPr>
        <w:t xml:space="preserve"> </w:t>
      </w:r>
      <w:proofErr w:type="spellStart"/>
      <w:r w:rsidRPr="005C79F6">
        <w:rPr>
          <w:rFonts w:ascii="Tahoma" w:hAnsi="Tahoma" w:cs="Tahoma"/>
          <w:sz w:val="16"/>
          <w:szCs w:val="16"/>
          <w:lang w:val="sl-SI"/>
        </w:rPr>
        <w:t>Organization</w:t>
      </w:r>
      <w:proofErr w:type="spellEnd"/>
      <w:r w:rsidRPr="005C79F6">
        <w:rPr>
          <w:rFonts w:ascii="Tahoma" w:hAnsi="Tahoma" w:cs="Tahoma"/>
          <w:sz w:val="16"/>
          <w:szCs w:val="16"/>
          <w:lang w:val="sl-SI"/>
        </w:rPr>
        <w:t>”. Plovila, ki spadajo v vrste ladij, določene v Pravilih 2 Priloge VI k MARPOL, vendar se v skladu s tem pravilom ne štejejo za nove ladje, lahko prostovoljno predložijo doseženo vrednost EEDI, izračunano v skladu s poglavjem 4 Priloge VI k MARPOL, in te izračune preverijo v skladu s poglavjem 2 Priloge VI k MARPOL.</w:t>
      </w:r>
    </w:p>
  </w:footnote>
  <w:footnote w:id="21">
    <w:p w14:paraId="128E61F8" w14:textId="77777777" w:rsidR="005D46C2" w:rsidRPr="005C79F6" w:rsidRDefault="005D46C2" w:rsidP="005D46C2">
      <w:pPr>
        <w:pStyle w:val="FootnoteText"/>
        <w:jc w:val="both"/>
        <w:rPr>
          <w:rFonts w:ascii="Tahoma" w:hAnsi="Tahoma" w:cs="Tahoma"/>
          <w:sz w:val="16"/>
          <w:szCs w:val="16"/>
          <w:lang w:val="sl-SI"/>
        </w:rPr>
      </w:pPr>
      <w:r w:rsidRPr="005C79F6">
        <w:rPr>
          <w:rFonts w:ascii="Tahoma" w:hAnsi="Tahoma" w:cs="Tahoma"/>
          <w:sz w:val="16"/>
          <w:szCs w:val="16"/>
          <w:vertAlign w:val="superscript"/>
          <w:lang w:val="sl-SI"/>
        </w:rPr>
        <w:footnoteRef/>
      </w:r>
      <w:r w:rsidRPr="005C79F6">
        <w:rPr>
          <w:rFonts w:ascii="Tahoma" w:hAnsi="Tahoma" w:cs="Tahoma"/>
          <w:sz w:val="16"/>
          <w:szCs w:val="16"/>
          <w:lang w:val="sl-SI"/>
        </w:rPr>
        <w:t xml:space="preserve"> Pogoj a) ni izpolnjen kadar plovilo tehnično sicer lahko deluje z ničelnimi neposrednimi emisijami CO2 pri izpustih, vendar to ekonomsko ni upravičeno.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EC60" w14:textId="7BB490E0" w:rsidR="005D46C2" w:rsidRDefault="005D46C2" w:rsidP="005D46C2">
    <w:pPr>
      <w:pStyle w:val="Header"/>
      <w:tabs>
        <w:tab w:val="clear" w:pos="4536"/>
        <w:tab w:val="clear" w:pos="9072"/>
      </w:tabs>
    </w:pPr>
    <w:r>
      <w:rPr>
        <w:noProof/>
      </w:rPr>
      <w:drawing>
        <wp:anchor distT="0" distB="0" distL="114300" distR="114300" simplePos="0" relativeHeight="251660288" behindDoc="0" locked="0" layoutInCell="1" allowOverlap="1" wp14:anchorId="3718E7A2" wp14:editId="517AF3A3">
          <wp:simplePos x="0" y="0"/>
          <wp:positionH relativeFrom="column">
            <wp:posOffset>4327389</wp:posOffset>
          </wp:positionH>
          <wp:positionV relativeFrom="paragraph">
            <wp:posOffset>295910</wp:posOffset>
          </wp:positionV>
          <wp:extent cx="953135" cy="436880"/>
          <wp:effectExtent l="0" t="0" r="0" b="1270"/>
          <wp:wrapSquare wrapText="bothSides"/>
          <wp:docPr id="504568528" name="Picture 50456852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and whit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53135" cy="436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4E1A07C" wp14:editId="0ED6A0F2">
          <wp:simplePos x="0" y="0"/>
          <wp:positionH relativeFrom="column">
            <wp:posOffset>0</wp:posOffset>
          </wp:positionH>
          <wp:positionV relativeFrom="paragraph">
            <wp:posOffset>173990</wp:posOffset>
          </wp:positionV>
          <wp:extent cx="818515" cy="558800"/>
          <wp:effectExtent l="0" t="0" r="635" b="0"/>
          <wp:wrapSquare wrapText="bothSides"/>
          <wp:docPr id="1244653549" name="Picture 1244653549"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flag with yellow sta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18515" cy="558800"/>
                  </a:xfrm>
                  <a:prstGeom prst="rect">
                    <a:avLst/>
                  </a:prstGeom>
                </pic:spPr>
              </pic:pic>
            </a:graphicData>
          </a:graphic>
          <wp14:sizeRelH relativeFrom="page">
            <wp14:pctWidth>0</wp14:pctWidth>
          </wp14:sizeRelH>
          <wp14:sizeRelV relativeFrom="page">
            <wp14:pctHeight>0</wp14:pctHeight>
          </wp14:sizeRelV>
        </wp:anchor>
      </w:drawing>
    </w:r>
    <w:r>
      <w:rPr>
        <w:rFonts w:ascii="Myriad Pro" w:hAnsi="Myriad Pro"/>
        <w:noProof/>
        <w:color w:val="0A1D30" w:themeColor="text2" w:themeShade="BF"/>
        <w:sz w:val="20"/>
      </w:rPr>
      <w:t xml:space="preserve">    </w:t>
    </w:r>
    <w:r>
      <w:rPr>
        <w:rFonts w:ascii="Myriad Pro" w:hAnsi="Myriad Pro"/>
        <w:noProof/>
        <w:color w:val="0A1D30" w:themeColor="text2" w:themeShade="BF"/>
        <w:sz w:val="20"/>
      </w:rPr>
      <w:tab/>
    </w:r>
    <w:r>
      <w:rPr>
        <w:rFonts w:ascii="Myriad Pro" w:hAnsi="Myriad Pro"/>
        <w:noProof/>
        <w:color w:val="0A1D30" w:themeColor="text2" w:themeShade="BF"/>
        <w:sz w:val="20"/>
      </w:rPr>
      <w:tab/>
    </w:r>
    <w:r>
      <w:rPr>
        <w:rFonts w:ascii="Myriad Pro" w:hAnsi="Myriad Pro"/>
        <w:noProof/>
        <w:color w:val="0A1D30" w:themeColor="text2" w:themeShade="BF"/>
        <w:sz w:val="20"/>
      </w:rPr>
      <w:tab/>
    </w:r>
    <w:r>
      <w:rPr>
        <w:rFonts w:ascii="Myriad Pro" w:hAnsi="Myriad Pro"/>
        <w:noProof/>
        <w:color w:val="0A1D30" w:themeColor="text2" w:themeShade="BF"/>
        <w:sz w:val="20"/>
      </w:rPr>
      <w:tab/>
    </w:r>
    <w:r>
      <w:rPr>
        <w:rFonts w:ascii="Myriad Pro" w:hAnsi="Myriad Pro"/>
        <w:noProof/>
        <w:color w:val="0A1D30" w:themeColor="text2" w:themeShade="BF"/>
        <w:sz w:val="20"/>
      </w:rPr>
      <w:tab/>
    </w:r>
    <w:r>
      <w:rPr>
        <w:rFonts w:ascii="Myriad Pro" w:hAnsi="Myriad Pro"/>
        <w:noProof/>
        <w:color w:val="0A1D30" w:themeColor="text2" w:themeShade="BF"/>
        <w:sz w:val="20"/>
      </w:rPr>
      <w:tab/>
    </w:r>
  </w:p>
  <w:p w14:paraId="5230B2F2" w14:textId="77777777" w:rsidR="005D46C2" w:rsidRDefault="005D4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79B"/>
    <w:multiLevelType w:val="hybridMultilevel"/>
    <w:tmpl w:val="935C9790"/>
    <w:lvl w:ilvl="0" w:tplc="FFFFFFFF">
      <w:start w:val="1"/>
      <w:numFmt w:val="decimal"/>
      <w:lvlText w:val="%1."/>
      <w:lvlJc w:val="left"/>
      <w:pPr>
        <w:ind w:left="720" w:hanging="360"/>
      </w:pPr>
    </w:lvl>
    <w:lvl w:ilvl="1" w:tplc="0424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012E18"/>
    <w:multiLevelType w:val="multilevel"/>
    <w:tmpl w:val="DB52957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5339E"/>
    <w:multiLevelType w:val="hybridMultilevel"/>
    <w:tmpl w:val="63B457D8"/>
    <w:lvl w:ilvl="0" w:tplc="34786A3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34F436B"/>
    <w:multiLevelType w:val="hybridMultilevel"/>
    <w:tmpl w:val="C3C00F3E"/>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1C73B3"/>
    <w:multiLevelType w:val="multilevel"/>
    <w:tmpl w:val="5852D892"/>
    <w:lvl w:ilvl="0">
      <w:start w:val="1"/>
      <w:numFmt w:val="none"/>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ind w:left="3268" w:hanging="360"/>
      </w:pPr>
      <w:rPr>
        <w:rFonts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num w:numId="1" w16cid:durableId="2036611550">
    <w:abstractNumId w:val="0"/>
  </w:num>
  <w:num w:numId="2" w16cid:durableId="558370219">
    <w:abstractNumId w:val="2"/>
  </w:num>
  <w:num w:numId="3" w16cid:durableId="476217281">
    <w:abstractNumId w:val="3"/>
  </w:num>
  <w:num w:numId="4" w16cid:durableId="1130828628">
    <w:abstractNumId w:val="1"/>
  </w:num>
  <w:num w:numId="5" w16cid:durableId="343366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revisionView w:inkAnnotations="0"/>
  <w:defaultTabStop w:val="720"/>
  <w:hyphenationZone w:val="425"/>
  <w:characterSpacingControl w:val="doNotCompress"/>
  <w:hdrShapeDefaults>
    <o:shapedefaults v:ext="edit" spidmax="2050"/>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C2"/>
    <w:rsid w:val="003B4CB1"/>
    <w:rsid w:val="00485BD6"/>
    <w:rsid w:val="00570CA7"/>
    <w:rsid w:val="005D46C2"/>
    <w:rsid w:val="00AB3286"/>
    <w:rsid w:val="00B018AA"/>
    <w:rsid w:val="00B44706"/>
    <w:rsid w:val="00B502C8"/>
    <w:rsid w:val="00E71592"/>
    <w:rsid w:val="00FA010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E4366"/>
  <w15:chartTrackingRefBased/>
  <w15:docId w15:val="{F0E34627-FE6B-4632-BBB0-9AC86352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C2"/>
    <w:rPr>
      <w:lang w:val="sl-SI"/>
      <w14:ligatures w14:val="none"/>
    </w:rPr>
  </w:style>
  <w:style w:type="paragraph" w:styleId="Heading1">
    <w:name w:val="heading 1"/>
    <w:basedOn w:val="Normal"/>
    <w:next w:val="Normal"/>
    <w:link w:val="Heading1Char"/>
    <w:uiPriority w:val="9"/>
    <w:qFormat/>
    <w:rsid w:val="005D4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6C2"/>
    <w:rPr>
      <w:rFonts w:eastAsiaTheme="majorEastAsia" w:cstheme="majorBidi"/>
      <w:color w:val="272727" w:themeColor="text1" w:themeTint="D8"/>
    </w:rPr>
  </w:style>
  <w:style w:type="paragraph" w:styleId="Title">
    <w:name w:val="Title"/>
    <w:basedOn w:val="Normal"/>
    <w:next w:val="Normal"/>
    <w:link w:val="TitleChar"/>
    <w:uiPriority w:val="10"/>
    <w:qFormat/>
    <w:rsid w:val="005D4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6C2"/>
    <w:pPr>
      <w:spacing w:before="160"/>
      <w:jc w:val="center"/>
    </w:pPr>
    <w:rPr>
      <w:i/>
      <w:iCs/>
      <w:color w:val="404040" w:themeColor="text1" w:themeTint="BF"/>
    </w:rPr>
  </w:style>
  <w:style w:type="character" w:customStyle="1" w:styleId="QuoteChar">
    <w:name w:val="Quote Char"/>
    <w:basedOn w:val="DefaultParagraphFont"/>
    <w:link w:val="Quote"/>
    <w:uiPriority w:val="29"/>
    <w:rsid w:val="005D46C2"/>
    <w:rPr>
      <w:i/>
      <w:iCs/>
      <w:color w:val="404040" w:themeColor="text1" w:themeTint="BF"/>
    </w:rPr>
  </w:style>
  <w:style w:type="paragraph" w:styleId="ListParagraph">
    <w:name w:val="List Paragraph"/>
    <w:aliases w:val="K1,Table of contents numbered,Elenco num ARGEA,body,Odsek zoznamu2,Bullet Number,Num Bullet 1,lp1,List Paragraph1,lp11,List Paragraph11,Normal bullet 2,Tabela - prazna vrstica,En tête 1,Table/Figure Heading"/>
    <w:basedOn w:val="Normal"/>
    <w:link w:val="ListParagraphChar"/>
    <w:uiPriority w:val="34"/>
    <w:qFormat/>
    <w:rsid w:val="005D46C2"/>
    <w:pPr>
      <w:ind w:left="720"/>
      <w:contextualSpacing/>
    </w:pPr>
  </w:style>
  <w:style w:type="character" w:styleId="IntenseEmphasis">
    <w:name w:val="Intense Emphasis"/>
    <w:basedOn w:val="DefaultParagraphFont"/>
    <w:uiPriority w:val="21"/>
    <w:qFormat/>
    <w:rsid w:val="005D46C2"/>
    <w:rPr>
      <w:i/>
      <w:iCs/>
      <w:color w:val="0F4761" w:themeColor="accent1" w:themeShade="BF"/>
    </w:rPr>
  </w:style>
  <w:style w:type="paragraph" w:styleId="IntenseQuote">
    <w:name w:val="Intense Quote"/>
    <w:basedOn w:val="Normal"/>
    <w:next w:val="Normal"/>
    <w:link w:val="IntenseQuoteChar"/>
    <w:uiPriority w:val="30"/>
    <w:qFormat/>
    <w:rsid w:val="005D4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6C2"/>
    <w:rPr>
      <w:i/>
      <w:iCs/>
      <w:color w:val="0F4761" w:themeColor="accent1" w:themeShade="BF"/>
    </w:rPr>
  </w:style>
  <w:style w:type="character" w:styleId="IntenseReference">
    <w:name w:val="Intense Reference"/>
    <w:basedOn w:val="DefaultParagraphFont"/>
    <w:uiPriority w:val="32"/>
    <w:qFormat/>
    <w:rsid w:val="005D46C2"/>
    <w:rPr>
      <w:b/>
      <w:bCs/>
      <w:smallCaps/>
      <w:color w:val="0F4761" w:themeColor="accent1" w:themeShade="BF"/>
      <w:spacing w:val="5"/>
    </w:rPr>
  </w:style>
  <w:style w:type="paragraph" w:styleId="FootnoteText">
    <w:name w:val="footnote text"/>
    <w:aliases w:val="Sprotna opomba-besedilo,Char Char Char Char,Char Char Char,Sprotna opomba - besedilo Znak1,Sprotna opomba - besedilo Znak Znak2,Sprotna opomba - besedilo Znak1 Znak Znak1,Sprotna opomba - besedilo Znak1 Znak Znak Znak,fn, Znak5"/>
    <w:basedOn w:val="Normal"/>
    <w:link w:val="FootnoteTextChar"/>
    <w:uiPriority w:val="99"/>
    <w:qFormat/>
    <w:rsid w:val="005D46C2"/>
    <w:pPr>
      <w:spacing w:after="0" w:line="240" w:lineRule="auto"/>
    </w:pPr>
    <w:rPr>
      <w:rFonts w:ascii="Arial" w:eastAsia="Times New Roman" w:hAnsi="Arial" w:cs="Times New Roman"/>
      <w:sz w:val="20"/>
      <w:szCs w:val="20"/>
      <w:lang w:val="de-DE"/>
    </w:rPr>
  </w:style>
  <w:style w:type="character" w:customStyle="1" w:styleId="FootnoteTextChar">
    <w:name w:val="Footnote Text Char"/>
    <w:aliases w:val="Sprotna opomba-besedilo Char,Char Char Char Char Char,Char Char Char Char1,Sprotna opomba - besedilo Znak1 Char,Sprotna opomba - besedilo Znak Znak2 Char,Sprotna opomba - besedilo Znak1 Znak Znak1 Char,fn Char, Znak5 Char"/>
    <w:basedOn w:val="DefaultParagraphFont"/>
    <w:link w:val="FootnoteText"/>
    <w:uiPriority w:val="99"/>
    <w:rsid w:val="005D46C2"/>
    <w:rPr>
      <w:rFonts w:ascii="Arial" w:eastAsia="Times New Roman" w:hAnsi="Arial" w:cs="Times New Roman"/>
      <w:sz w:val="20"/>
      <w:szCs w:val="20"/>
      <w:lang w:val="de-DE"/>
      <w14:ligatures w14:val="none"/>
    </w:rPr>
  </w:style>
  <w:style w:type="character" w:customStyle="1" w:styleId="ListParagraphChar">
    <w:name w:val="List Paragraph Char"/>
    <w:aliases w:val="K1 Char,Table of contents numbered Char,Elenco num ARGEA Char,body Char,Odsek zoznamu2 Char,Bullet Number Char,Num Bullet 1 Char,lp1 Char,List Paragraph1 Char,lp11 Char,List Paragraph11 Char,Normal bullet 2 Char,En tête 1 Char"/>
    <w:basedOn w:val="DefaultParagraphFont"/>
    <w:link w:val="ListParagraph"/>
    <w:uiPriority w:val="34"/>
    <w:rsid w:val="005D46C2"/>
  </w:style>
  <w:style w:type="character" w:styleId="FootnoteReference">
    <w:name w:val="footnote reference"/>
    <w:aliases w:val="Footnote symbol,Fussnota,Footnote,SUPERS,Footnote number,fr,o,-E Fußnotenzeichen,Footnote reference number,note TESI,EN Footnote Reference,Times 10 Point,Exposant 3 Point,E...,nota de rodapé,Footnote Reference_LVL6,Footnot,BVI fnr"/>
    <w:basedOn w:val="DefaultParagraphFont"/>
    <w:uiPriority w:val="99"/>
    <w:qFormat/>
    <w:rsid w:val="005D46C2"/>
    <w:rPr>
      <w:rFonts w:cs="Times New Roman"/>
      <w:vertAlign w:val="superscript"/>
    </w:rPr>
  </w:style>
  <w:style w:type="paragraph" w:styleId="NormalWeb">
    <w:name w:val="Normal (Web)"/>
    <w:basedOn w:val="Normal"/>
    <w:uiPriority w:val="99"/>
    <w:unhideWhenUsed/>
    <w:rsid w:val="005D46C2"/>
    <w:pPr>
      <w:spacing w:before="100" w:beforeAutospacing="1" w:after="100" w:afterAutospacing="1" w:line="240" w:lineRule="auto"/>
    </w:pPr>
    <w:rPr>
      <w:rFonts w:ascii="Times New Roman" w:eastAsia="Times New Roman" w:hAnsi="Times New Roman" w:cs="Times New Roman"/>
      <w:sz w:val="24"/>
      <w:szCs w:val="24"/>
      <w:lang w:eastAsia="sl-SI"/>
    </w:rPr>
  </w:style>
  <w:style w:type="table" w:customStyle="1" w:styleId="TableGrid1">
    <w:name w:val="Table Grid1"/>
    <w:basedOn w:val="TableNormal"/>
    <w:next w:val="TableGrid"/>
    <w:uiPriority w:val="39"/>
    <w:rsid w:val="005D46C2"/>
    <w:pPr>
      <w:spacing w:after="0" w:line="240" w:lineRule="auto"/>
      <w:jc w:val="both"/>
    </w:pPr>
    <w:rPr>
      <w:rFonts w:ascii="Times New Roman" w:eastAsia="SimSun" w:hAnsi="Times New Roman" w:cs="Simplified Arabic"/>
      <w:sz w:val="20"/>
      <w:szCs w:val="20"/>
      <w:lang w:eastAsia="zh-CN" w:bidi="he-I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D4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Header Char1,Header Char Char,Header Char1 Char Char,Header Char Char Char Char,Header Char1 Char Char Char Char,Header Char Char Char Char Char Char,Header Char1 Char Char Char Char Char Char,Header Char2 Char Char Char Char Char"/>
    <w:basedOn w:val="Normal"/>
    <w:link w:val="HeaderChar"/>
    <w:uiPriority w:val="99"/>
    <w:unhideWhenUsed/>
    <w:rsid w:val="005D46C2"/>
    <w:pPr>
      <w:tabs>
        <w:tab w:val="center" w:pos="4536"/>
        <w:tab w:val="right" w:pos="9072"/>
      </w:tabs>
      <w:spacing w:after="0" w:line="240" w:lineRule="auto"/>
    </w:pPr>
  </w:style>
  <w:style w:type="character" w:customStyle="1" w:styleId="HeaderChar">
    <w:name w:val="Header Char"/>
    <w:aliases w:val="header1 Char,Header Char1 Char,Header Char Char Char,Header Char1 Char Char Char,Header Char Char Char Char Char,Header Char1 Char Char Char Char Char,Header Char Char Char Char Char Char Char,Header Char1 Char Char Char Char Char Char Char"/>
    <w:basedOn w:val="DefaultParagraphFont"/>
    <w:link w:val="Header"/>
    <w:uiPriority w:val="99"/>
    <w:rsid w:val="005D46C2"/>
    <w:rPr>
      <w:lang w:val="sl-SI"/>
      <w14:ligatures w14:val="none"/>
    </w:rPr>
  </w:style>
  <w:style w:type="paragraph" w:styleId="Footer">
    <w:name w:val="footer"/>
    <w:basedOn w:val="Normal"/>
    <w:link w:val="FooterChar"/>
    <w:uiPriority w:val="99"/>
    <w:unhideWhenUsed/>
    <w:rsid w:val="005D46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46C2"/>
    <w:rPr>
      <w:lang w:val="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1947</Words>
  <Characters>11099</Characters>
  <Application>Microsoft Office Word</Application>
  <DocSecurity>0</DocSecurity>
  <Lines>92</Lines>
  <Paragraphs>26</Paragraphs>
  <ScaleCrop>false</ScaleCrop>
  <Company>SID banka d.d.</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 Potisek</dc:creator>
  <cp:keywords/>
  <dc:description/>
  <cp:lastModifiedBy>Klemen Potisek</cp:lastModifiedBy>
  <cp:revision>1</cp:revision>
  <dcterms:created xsi:type="dcterms:W3CDTF">2025-12-24T08:47:00Z</dcterms:created>
  <dcterms:modified xsi:type="dcterms:W3CDTF">2025-12-24T08:49:00Z</dcterms:modified>
</cp:coreProperties>
</file>