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7ED4" w14:textId="77777777" w:rsidR="00AD4911" w:rsidRPr="00AD4911" w:rsidRDefault="00AD4911">
      <w:pPr>
        <w:spacing w:before="81" w:line="256" w:lineRule="auto"/>
        <w:ind w:left="118" w:right="114"/>
        <w:jc w:val="both"/>
        <w:rPr>
          <w:b/>
          <w:sz w:val="20"/>
        </w:rPr>
      </w:pPr>
      <w:r w:rsidRPr="00AD4911">
        <w:rPr>
          <w:b/>
          <w:sz w:val="20"/>
        </w:rPr>
        <w:t>PRILOGA A</w:t>
      </w:r>
    </w:p>
    <w:p w14:paraId="2A304011" w14:textId="33E0CF18" w:rsidR="00AD4911" w:rsidRDefault="002A0774">
      <w:pPr>
        <w:spacing w:before="81" w:line="256" w:lineRule="auto"/>
        <w:ind w:left="118" w:right="114"/>
        <w:jc w:val="both"/>
        <w:rPr>
          <w:sz w:val="20"/>
        </w:rPr>
      </w:pPr>
      <w:r>
        <w:rPr>
          <w:sz w:val="20"/>
        </w:rPr>
        <w:t>Kreditojemalec: ……………………………….</w:t>
      </w:r>
    </w:p>
    <w:p w14:paraId="33660D90" w14:textId="645E0575" w:rsidR="002A0774" w:rsidRDefault="002A0774">
      <w:pPr>
        <w:spacing w:before="81" w:line="256" w:lineRule="auto"/>
        <w:ind w:left="118" w:right="114"/>
        <w:jc w:val="both"/>
        <w:rPr>
          <w:sz w:val="20"/>
        </w:rPr>
      </w:pPr>
      <w:r>
        <w:rPr>
          <w:sz w:val="20"/>
        </w:rPr>
        <w:t>Skupina: …………………………………………</w:t>
      </w:r>
    </w:p>
    <w:p w14:paraId="32C03890" w14:textId="77777777" w:rsidR="002A0774" w:rsidRDefault="002A0774">
      <w:pPr>
        <w:spacing w:before="81" w:line="256" w:lineRule="auto"/>
        <w:ind w:left="118" w:right="114"/>
        <w:jc w:val="both"/>
        <w:rPr>
          <w:sz w:val="20"/>
        </w:rPr>
      </w:pPr>
    </w:p>
    <w:p w14:paraId="181696BB" w14:textId="77777777" w:rsidR="009827C6" w:rsidRDefault="00AD4911">
      <w:pPr>
        <w:spacing w:before="81" w:line="256" w:lineRule="auto"/>
        <w:ind w:left="118" w:right="114"/>
        <w:jc w:val="both"/>
        <w:rPr>
          <w:sz w:val="20"/>
        </w:rPr>
      </w:pPr>
      <w:r>
        <w:rPr>
          <w:sz w:val="20"/>
        </w:rPr>
        <w:t xml:space="preserve">Iz 18. točke 2. člena Uredbe Komisije (EU) št. 651/2014 z dne 17. junija 2014 (v nadaljevanju </w:t>
      </w:r>
      <w:proofErr w:type="spellStart"/>
      <w:r>
        <w:rPr>
          <w:sz w:val="20"/>
        </w:rPr>
        <w:t>Gber</w:t>
      </w:r>
      <w:proofErr w:type="spellEnd"/>
      <w:r>
        <w:rPr>
          <w:sz w:val="20"/>
        </w:rPr>
        <w:t>) izhaja, da je »</w:t>
      </w:r>
      <w:r>
        <w:rPr>
          <w:b/>
          <w:sz w:val="20"/>
        </w:rPr>
        <w:t>podjetje v težavah</w:t>
      </w:r>
      <w:r>
        <w:rPr>
          <w:sz w:val="20"/>
        </w:rPr>
        <w:t xml:space="preserve">« tisto podjetje, za katerega velja </w:t>
      </w:r>
      <w:r>
        <w:rPr>
          <w:b/>
          <w:sz w:val="20"/>
        </w:rPr>
        <w:t xml:space="preserve">vsaj ena </w:t>
      </w:r>
      <w:r>
        <w:rPr>
          <w:sz w:val="20"/>
        </w:rPr>
        <w:t>izmed naslednjih okoliščin:</w:t>
      </w:r>
    </w:p>
    <w:p w14:paraId="35A15382" w14:textId="571F8466" w:rsidR="009827C6" w:rsidRDefault="00AD4911">
      <w:pPr>
        <w:pStyle w:val="ListParagraph"/>
        <w:numPr>
          <w:ilvl w:val="0"/>
          <w:numId w:val="1"/>
        </w:numPr>
        <w:tabs>
          <w:tab w:val="left" w:pos="547"/>
        </w:tabs>
        <w:spacing w:before="166" w:line="259" w:lineRule="auto"/>
        <w:ind w:right="115"/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družbi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omejeno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odgovornostjo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zaradi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nakopičenih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izgub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izginil</w:t>
      </w:r>
      <w:r w:rsidR="00391723"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več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polovica vpisanega osnovnega kapitala. To je v primeru, ko nakopičene izgube, ki se odštejejo od rezerv (in vseh drugih elementov, ki se na splošno štejejo za del lastnih sredstev družbe), povzročijo negativen kumulativni znesek, ki presega polovico vpisanega osnovnega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kapitala.</w:t>
      </w:r>
    </w:p>
    <w:p w14:paraId="090D7853" w14:textId="77777777" w:rsidR="009827C6" w:rsidRDefault="00AD4911">
      <w:pPr>
        <w:pStyle w:val="BodyText"/>
        <w:spacing w:before="161" w:line="256" w:lineRule="auto"/>
        <w:ind w:left="546" w:right="116"/>
        <w:jc w:val="both"/>
      </w:pPr>
      <w:r>
        <w:t>To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velja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MSP,</w:t>
      </w:r>
      <w:r>
        <w:rPr>
          <w:spacing w:val="-5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obstaja</w:t>
      </w:r>
      <w:r>
        <w:rPr>
          <w:spacing w:val="-4"/>
        </w:rPr>
        <w:t xml:space="preserve"> </w:t>
      </w:r>
      <w:r>
        <w:t>manj</w:t>
      </w:r>
      <w:r>
        <w:rPr>
          <w:spacing w:val="-3"/>
        </w:rPr>
        <w:t xml:space="preserve"> </w:t>
      </w:r>
      <w:r>
        <w:t>kot</w:t>
      </w:r>
      <w:r>
        <w:rPr>
          <w:spacing w:val="-4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t>leta</w:t>
      </w:r>
      <w:r>
        <w:rPr>
          <w:spacing w:val="-2"/>
        </w:rPr>
        <w:t xml:space="preserve"> </w:t>
      </w:r>
      <w:r>
        <w:t>ali,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namene</w:t>
      </w:r>
      <w:r>
        <w:rPr>
          <w:spacing w:val="-4"/>
        </w:rPr>
        <w:t xml:space="preserve"> </w:t>
      </w:r>
      <w:r>
        <w:t>upravičenosti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pomoči za financiranje tveganja, MSP v 7 letih po njegovi prvi komercialni prodaji in ki je upravičen do naložb v financiranje tveganja po skrbnem pregledu izbranega finančnega posrednika.</w:t>
      </w:r>
    </w:p>
    <w:p w14:paraId="64CDB050" w14:textId="77777777" w:rsidR="009827C6" w:rsidRDefault="00AD4911">
      <w:pPr>
        <w:pStyle w:val="BodyText"/>
        <w:spacing w:before="167"/>
        <w:ind w:left="543"/>
      </w:pPr>
      <w:r>
        <w:t>»Osnovni kapital« vključuje po potrebi vse vplačane presežke kapitala.</w:t>
      </w:r>
    </w:p>
    <w:p w14:paraId="41F1D4B0" w14:textId="77777777" w:rsidR="009827C6" w:rsidRDefault="009827C6">
      <w:pPr>
        <w:pStyle w:val="BodyText"/>
        <w:spacing w:before="1"/>
        <w:rPr>
          <w:sz w:val="33"/>
        </w:rPr>
      </w:pPr>
    </w:p>
    <w:p w14:paraId="757945CA" w14:textId="77777777" w:rsidR="009827C6" w:rsidRDefault="00AD4911">
      <w:pPr>
        <w:ind w:left="546"/>
        <w:rPr>
          <w:sz w:val="20"/>
        </w:rPr>
      </w:pPr>
      <w:r>
        <w:rPr>
          <w:sz w:val="20"/>
        </w:rPr>
        <w:t>Predlog formule:</w:t>
      </w:r>
    </w:p>
    <w:p w14:paraId="48775F20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7"/>
      </w:tblGrid>
      <w:tr w:rsidR="009827C6" w14:paraId="72449180" w14:textId="77777777">
        <w:trPr>
          <w:trHeight w:val="1011"/>
        </w:trPr>
        <w:tc>
          <w:tcPr>
            <w:tcW w:w="7787" w:type="dxa"/>
            <w:tcBorders>
              <w:bottom w:val="single" w:sz="4" w:space="0" w:color="000000"/>
            </w:tcBorders>
          </w:tcPr>
          <w:p w14:paraId="26893B7F" w14:textId="77777777" w:rsidR="009827C6" w:rsidRDefault="009827C6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79BC4E0D" w14:textId="77777777" w:rsidR="009827C6" w:rsidRDefault="00AD4911">
            <w:pPr>
              <w:pStyle w:val="TableParagraph"/>
              <w:ind w:left="618" w:right="929" w:firstLine="3"/>
              <w:rPr>
                <w:sz w:val="18"/>
              </w:rPr>
            </w:pPr>
            <w:r>
              <w:rPr>
                <w:sz w:val="18"/>
              </w:rPr>
              <w:t>Čisti dobiček poslovnega leta – Čista izguba poslovnega leta + Preneseni čisti dobiček – Prenesena čista izguba + Kapitalske rezerve + Rezerve iz dobička +</w:t>
            </w:r>
          </w:p>
          <w:p w14:paraId="480B3D89" w14:textId="77777777" w:rsidR="009827C6" w:rsidRDefault="00AD4911">
            <w:pPr>
              <w:pStyle w:val="TableParagraph"/>
              <w:ind w:left="224" w:right="531"/>
              <w:rPr>
                <w:sz w:val="18"/>
              </w:rPr>
            </w:pPr>
            <w:r>
              <w:rPr>
                <w:sz w:val="18"/>
              </w:rPr>
              <w:t>Revalorizacijske rezerve + Rezerve, nastale zaradi vrednotenja po pošteni vrednosti</w:t>
            </w:r>
          </w:p>
        </w:tc>
      </w:tr>
      <w:tr w:rsidR="009827C6" w14:paraId="3FAC9B73" w14:textId="77777777">
        <w:trPr>
          <w:trHeight w:val="587"/>
        </w:trPr>
        <w:tc>
          <w:tcPr>
            <w:tcW w:w="7787" w:type="dxa"/>
            <w:tcBorders>
              <w:top w:val="single" w:sz="4" w:space="0" w:color="000000"/>
            </w:tcBorders>
          </w:tcPr>
          <w:p w14:paraId="4B8EC872" w14:textId="77777777" w:rsidR="009827C6" w:rsidRDefault="00AD4911">
            <w:pPr>
              <w:pStyle w:val="TableParagraph"/>
              <w:spacing w:before="62"/>
              <w:ind w:left="224" w:right="531"/>
              <w:rPr>
                <w:sz w:val="18"/>
              </w:rPr>
            </w:pPr>
            <w:r>
              <w:rPr>
                <w:sz w:val="18"/>
              </w:rPr>
              <w:t>Osnovni kapital</w:t>
            </w:r>
          </w:p>
        </w:tc>
      </w:tr>
    </w:tbl>
    <w:p w14:paraId="5BD4630B" w14:textId="77777777" w:rsidR="009827C6" w:rsidRDefault="009827C6">
      <w:pPr>
        <w:pStyle w:val="BodyText"/>
        <w:spacing w:before="4"/>
        <w:rPr>
          <w:b w:val="0"/>
          <w:sz w:val="32"/>
        </w:rPr>
      </w:pPr>
    </w:p>
    <w:p w14:paraId="7DE875C8" w14:textId="77777777" w:rsidR="009827C6" w:rsidRDefault="00AD4911">
      <w:pPr>
        <w:ind w:left="546"/>
        <w:rPr>
          <w:sz w:val="20"/>
        </w:rPr>
      </w:pPr>
      <w:r>
        <w:rPr>
          <w:sz w:val="20"/>
        </w:rPr>
        <w:t>oz. z AOP</w:t>
      </w:r>
    </w:p>
    <w:p w14:paraId="59FB8339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7"/>
      </w:tblGrid>
      <w:tr w:rsidR="009827C6" w14:paraId="6BE1A63E" w14:textId="77777777">
        <w:trPr>
          <w:trHeight w:val="517"/>
        </w:trPr>
        <w:tc>
          <w:tcPr>
            <w:tcW w:w="7787" w:type="dxa"/>
            <w:tcBorders>
              <w:bottom w:val="single" w:sz="4" w:space="0" w:color="000000"/>
            </w:tcBorders>
          </w:tcPr>
          <w:p w14:paraId="20E60E6E" w14:textId="77777777" w:rsidR="009827C6" w:rsidRDefault="009827C6">
            <w:pPr>
              <w:pStyle w:val="TableParagraph"/>
              <w:spacing w:before="2"/>
              <w:ind w:left="0"/>
              <w:jc w:val="left"/>
              <w:rPr>
                <w:sz w:val="20"/>
              </w:rPr>
            </w:pPr>
          </w:p>
          <w:p w14:paraId="34C45AF1" w14:textId="77777777" w:rsidR="009827C6" w:rsidRDefault="00AD4911">
            <w:pPr>
              <w:pStyle w:val="TableParagraph"/>
              <w:ind w:left="384" w:right="404"/>
              <w:rPr>
                <w:sz w:val="18"/>
              </w:rPr>
            </w:pPr>
            <w:r>
              <w:rPr>
                <w:sz w:val="18"/>
              </w:rPr>
              <w:t>AOP070 – AOP071 + AOP068 – AOP069 + AOP060 + AOP061 + AOP067 + AOP301</w:t>
            </w:r>
          </w:p>
        </w:tc>
      </w:tr>
      <w:tr w:rsidR="009827C6" w14:paraId="622000FB" w14:textId="77777777">
        <w:trPr>
          <w:trHeight w:val="470"/>
        </w:trPr>
        <w:tc>
          <w:tcPr>
            <w:tcW w:w="7787" w:type="dxa"/>
            <w:tcBorders>
              <w:top w:val="single" w:sz="4" w:space="0" w:color="000000"/>
            </w:tcBorders>
          </w:tcPr>
          <w:p w14:paraId="4AB3786E" w14:textId="77777777" w:rsidR="009827C6" w:rsidRDefault="00AD4911">
            <w:pPr>
              <w:pStyle w:val="TableParagraph"/>
              <w:spacing w:before="98"/>
              <w:ind w:left="384" w:right="402"/>
              <w:rPr>
                <w:sz w:val="18"/>
              </w:rPr>
            </w:pPr>
            <w:r>
              <w:rPr>
                <w:sz w:val="18"/>
              </w:rPr>
              <w:t>AOP058</w:t>
            </w:r>
          </w:p>
        </w:tc>
      </w:tr>
    </w:tbl>
    <w:p w14:paraId="00D2820B" w14:textId="77777777" w:rsidR="009827C6" w:rsidRDefault="009827C6">
      <w:pPr>
        <w:pStyle w:val="BodyText"/>
        <w:spacing w:before="10"/>
        <w:rPr>
          <w:b w:val="0"/>
          <w:sz w:val="34"/>
        </w:rPr>
      </w:pPr>
    </w:p>
    <w:p w14:paraId="26D37FD8" w14:textId="77777777" w:rsidR="009827C6" w:rsidRDefault="00AD4911">
      <w:pPr>
        <w:pStyle w:val="Heading1"/>
      </w:pPr>
      <w:r>
        <w:t>V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dogovorom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namenom</w:t>
      </w:r>
      <w:r>
        <w:rPr>
          <w:spacing w:val="-6"/>
        </w:rPr>
        <w:t xml:space="preserve"> </w:t>
      </w:r>
      <w:r>
        <w:t>poenostavitve</w:t>
      </w:r>
      <w:r>
        <w:rPr>
          <w:spacing w:val="-3"/>
        </w:rPr>
        <w:t xml:space="preserve"> </w:t>
      </w:r>
      <w:r>
        <w:t>izračuna</w:t>
      </w:r>
      <w:r>
        <w:rPr>
          <w:spacing w:val="-6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imenovalca</w:t>
      </w:r>
      <w:r>
        <w:rPr>
          <w:spacing w:val="-6"/>
        </w:rPr>
        <w:t xml:space="preserve"> </w:t>
      </w:r>
      <w:r>
        <w:t>kazalnika</w:t>
      </w:r>
      <w:r>
        <w:rPr>
          <w:spacing w:val="-5"/>
        </w:rPr>
        <w:t xml:space="preserve"> </w:t>
      </w:r>
      <w:r>
        <w:t>izpuščen</w:t>
      </w:r>
    </w:p>
    <w:p w14:paraId="1ADC3C84" w14:textId="77777777" w:rsidR="009827C6" w:rsidRDefault="00AD4911">
      <w:pPr>
        <w:spacing w:before="9"/>
        <w:ind w:left="543"/>
        <w:rPr>
          <w:i/>
          <w:sz w:val="21"/>
        </w:rPr>
      </w:pPr>
      <w:r>
        <w:rPr>
          <w:i/>
          <w:sz w:val="21"/>
        </w:rPr>
        <w:t>»vplačan presežek  kapitala«, ki ni  samostojna postavka  v  kapitalu, temveč le del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postavke</w:t>
      </w:r>
    </w:p>
    <w:p w14:paraId="0E0A5807" w14:textId="77777777" w:rsidR="009827C6" w:rsidRDefault="00AD4911">
      <w:pPr>
        <w:spacing w:before="5"/>
        <w:ind w:left="543"/>
        <w:rPr>
          <w:i/>
          <w:sz w:val="21"/>
        </w:rPr>
      </w:pPr>
      <w:r>
        <w:rPr>
          <w:i/>
          <w:sz w:val="21"/>
        </w:rPr>
        <w:t>»kapitalske rezerve (AOP060)«.</w:t>
      </w:r>
    </w:p>
    <w:p w14:paraId="4DA17706" w14:textId="77777777" w:rsidR="009827C6" w:rsidRDefault="009827C6">
      <w:pPr>
        <w:pStyle w:val="BodyText"/>
        <w:rPr>
          <w:b w:val="0"/>
          <w:i/>
          <w:sz w:val="34"/>
        </w:rPr>
      </w:pPr>
    </w:p>
    <w:p w14:paraId="465FF5B3" w14:textId="77777777" w:rsidR="009827C6" w:rsidRDefault="00AD4911">
      <w:pPr>
        <w:pStyle w:val="ListParagraph"/>
        <w:numPr>
          <w:ilvl w:val="0"/>
          <w:numId w:val="1"/>
        </w:numPr>
        <w:tabs>
          <w:tab w:val="left" w:pos="547"/>
        </w:tabs>
        <w:spacing w:line="256" w:lineRule="auto"/>
        <w:ind w:right="116"/>
        <w:jc w:val="both"/>
        <w:rPr>
          <w:b/>
          <w:sz w:val="20"/>
        </w:rPr>
      </w:pPr>
      <w:r>
        <w:rPr>
          <w:b/>
          <w:sz w:val="20"/>
        </w:rPr>
        <w:t>V družbi, kjer vsaj nekaj članov nosi neomejeno odgovornost za dolg družbe, je zaradi nakopičenih izgub izginila več kot polovica njenega kapitala, kot prikazujejo računovodski izkazi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družbe.</w:t>
      </w:r>
    </w:p>
    <w:p w14:paraId="6A61A9AB" w14:textId="77777777" w:rsidR="009827C6" w:rsidRDefault="00AD4911">
      <w:pPr>
        <w:pStyle w:val="BodyText"/>
        <w:spacing w:before="166" w:line="259" w:lineRule="auto"/>
        <w:ind w:left="543" w:right="123"/>
        <w:jc w:val="both"/>
      </w:pPr>
      <w:r>
        <w:t>To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velja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MSP,</w:t>
      </w:r>
      <w:r>
        <w:rPr>
          <w:spacing w:val="-2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obstaja</w:t>
      </w:r>
      <w:r>
        <w:rPr>
          <w:spacing w:val="-5"/>
        </w:rPr>
        <w:t xml:space="preserve"> </w:t>
      </w:r>
      <w:r>
        <w:t>manj</w:t>
      </w:r>
      <w:r>
        <w:rPr>
          <w:spacing w:val="-3"/>
        </w:rPr>
        <w:t xml:space="preserve"> </w:t>
      </w:r>
      <w:r>
        <w:t>kot</w:t>
      </w:r>
      <w:r>
        <w:rPr>
          <w:spacing w:val="-5"/>
        </w:rPr>
        <w:t xml:space="preserve"> </w:t>
      </w:r>
      <w:r>
        <w:t>tri</w:t>
      </w:r>
      <w:r>
        <w:rPr>
          <w:spacing w:val="-4"/>
        </w:rPr>
        <w:t xml:space="preserve"> </w:t>
      </w:r>
      <w:r>
        <w:t>leta</w:t>
      </w:r>
      <w:r>
        <w:rPr>
          <w:spacing w:val="-2"/>
        </w:rPr>
        <w:t xml:space="preserve"> </w:t>
      </w:r>
      <w:r>
        <w:t>ali,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namene</w:t>
      </w:r>
      <w:r>
        <w:rPr>
          <w:spacing w:val="-7"/>
        </w:rPr>
        <w:t xml:space="preserve"> </w:t>
      </w:r>
      <w:r>
        <w:t>upravičenosti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pomoči za financiranje tveganja, MSP v 7 letih po njegovi prvi komercialni prodaji in ki je upravičeno do naložb v financiranje tveganja po skrbnem pregledu izbranega finančnega posrednika.</w:t>
      </w:r>
    </w:p>
    <w:p w14:paraId="3FB6F690" w14:textId="77777777" w:rsidR="009827C6" w:rsidRDefault="009827C6">
      <w:pPr>
        <w:pStyle w:val="BodyText"/>
        <w:spacing w:before="4"/>
        <w:rPr>
          <w:sz w:val="31"/>
        </w:rPr>
      </w:pPr>
    </w:p>
    <w:p w14:paraId="691DCC4D" w14:textId="77777777" w:rsidR="009827C6" w:rsidRDefault="00AD4911">
      <w:pPr>
        <w:ind w:left="546"/>
        <w:rPr>
          <w:sz w:val="20"/>
        </w:rPr>
      </w:pPr>
      <w:r>
        <w:rPr>
          <w:sz w:val="20"/>
        </w:rPr>
        <w:t>Predlog formule:</w:t>
      </w:r>
    </w:p>
    <w:p w14:paraId="37338595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2"/>
      </w:tblGrid>
      <w:tr w:rsidR="009827C6" w14:paraId="3C6D5A47" w14:textId="77777777">
        <w:trPr>
          <w:trHeight w:val="577"/>
        </w:trPr>
        <w:tc>
          <w:tcPr>
            <w:tcW w:w="5802" w:type="dxa"/>
            <w:tcBorders>
              <w:bottom w:val="single" w:sz="4" w:space="0" w:color="000000"/>
            </w:tcBorders>
          </w:tcPr>
          <w:p w14:paraId="4E987647" w14:textId="77777777" w:rsidR="009827C6" w:rsidRDefault="009827C6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49FE50C4" w14:textId="77777777" w:rsidR="009827C6" w:rsidRDefault="00AD4911">
            <w:pPr>
              <w:pStyle w:val="TableParagraph"/>
              <w:ind w:left="632" w:right="791"/>
              <w:rPr>
                <w:sz w:val="18"/>
              </w:rPr>
            </w:pPr>
            <w:r>
              <w:rPr>
                <w:sz w:val="18"/>
              </w:rPr>
              <w:t>Prenesena čista izguba + Čista izguba poslovnega leta</w:t>
            </w:r>
          </w:p>
        </w:tc>
      </w:tr>
      <w:tr w:rsidR="009827C6" w14:paraId="4008285D" w14:textId="77777777">
        <w:trPr>
          <w:trHeight w:val="529"/>
        </w:trPr>
        <w:tc>
          <w:tcPr>
            <w:tcW w:w="5802" w:type="dxa"/>
            <w:tcBorders>
              <w:top w:val="single" w:sz="4" w:space="0" w:color="000000"/>
            </w:tcBorders>
          </w:tcPr>
          <w:p w14:paraId="4A2D1EEC" w14:textId="77777777" w:rsidR="009827C6" w:rsidRDefault="00AD4911">
            <w:pPr>
              <w:pStyle w:val="TableParagraph"/>
              <w:spacing w:before="62"/>
              <w:ind w:left="631" w:right="791"/>
              <w:rPr>
                <w:sz w:val="18"/>
              </w:rPr>
            </w:pPr>
            <w:r>
              <w:rPr>
                <w:sz w:val="18"/>
              </w:rPr>
              <w:t>Kapital</w:t>
            </w:r>
          </w:p>
        </w:tc>
      </w:tr>
    </w:tbl>
    <w:p w14:paraId="14014F74" w14:textId="77777777" w:rsidR="009827C6" w:rsidRDefault="009827C6">
      <w:pPr>
        <w:rPr>
          <w:sz w:val="18"/>
        </w:rPr>
        <w:sectPr w:rsidR="009827C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151DC8D" w14:textId="77777777" w:rsidR="009827C6" w:rsidRDefault="00AD4911">
      <w:pPr>
        <w:spacing w:before="79"/>
        <w:ind w:left="546"/>
        <w:rPr>
          <w:sz w:val="20"/>
        </w:rPr>
      </w:pPr>
      <w:r>
        <w:rPr>
          <w:sz w:val="20"/>
        </w:rPr>
        <w:lastRenderedPageBreak/>
        <w:t>oz. z AOP</w:t>
      </w:r>
    </w:p>
    <w:p w14:paraId="0C86C4AC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1"/>
      </w:tblGrid>
      <w:tr w:rsidR="009827C6" w14:paraId="41B071D8" w14:textId="77777777">
        <w:trPr>
          <w:trHeight w:val="517"/>
        </w:trPr>
        <w:tc>
          <w:tcPr>
            <w:tcW w:w="5811" w:type="dxa"/>
            <w:tcBorders>
              <w:bottom w:val="single" w:sz="4" w:space="0" w:color="000000"/>
            </w:tcBorders>
          </w:tcPr>
          <w:p w14:paraId="2933BDD9" w14:textId="77777777" w:rsidR="009827C6" w:rsidRDefault="009827C6">
            <w:pPr>
              <w:pStyle w:val="TableParagraph"/>
              <w:spacing w:before="2"/>
              <w:ind w:left="0"/>
              <w:jc w:val="left"/>
              <w:rPr>
                <w:sz w:val="20"/>
              </w:rPr>
            </w:pPr>
          </w:p>
          <w:p w14:paraId="4106EC9F" w14:textId="77777777" w:rsidR="009827C6" w:rsidRDefault="00AD4911">
            <w:pPr>
              <w:pStyle w:val="TableParagraph"/>
              <w:ind w:left="2050" w:right="2187"/>
              <w:rPr>
                <w:sz w:val="18"/>
              </w:rPr>
            </w:pPr>
            <w:r>
              <w:rPr>
                <w:sz w:val="18"/>
              </w:rPr>
              <w:t>AOP069 + AOP071</w:t>
            </w:r>
          </w:p>
        </w:tc>
      </w:tr>
      <w:tr w:rsidR="009827C6" w14:paraId="1DD811EA" w14:textId="77777777">
        <w:trPr>
          <w:trHeight w:val="517"/>
        </w:trPr>
        <w:tc>
          <w:tcPr>
            <w:tcW w:w="5811" w:type="dxa"/>
            <w:tcBorders>
              <w:top w:val="single" w:sz="4" w:space="0" w:color="000000"/>
            </w:tcBorders>
          </w:tcPr>
          <w:p w14:paraId="290C3C65" w14:textId="77777777" w:rsidR="009827C6" w:rsidRDefault="009827C6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5575A8C3" w14:textId="77777777" w:rsidR="009827C6" w:rsidRDefault="00AD4911">
            <w:pPr>
              <w:pStyle w:val="TableParagraph"/>
              <w:ind w:left="2050" w:right="2184"/>
              <w:rPr>
                <w:sz w:val="18"/>
              </w:rPr>
            </w:pPr>
            <w:r>
              <w:rPr>
                <w:sz w:val="18"/>
              </w:rPr>
              <w:t>AOP056</w:t>
            </w:r>
          </w:p>
        </w:tc>
      </w:tr>
    </w:tbl>
    <w:p w14:paraId="05340605" w14:textId="77777777" w:rsidR="009827C6" w:rsidRDefault="009827C6">
      <w:pPr>
        <w:pStyle w:val="BodyText"/>
        <w:spacing w:before="8"/>
        <w:rPr>
          <w:b w:val="0"/>
          <w:sz w:val="34"/>
        </w:rPr>
      </w:pPr>
    </w:p>
    <w:p w14:paraId="37D79049" w14:textId="77777777" w:rsidR="009827C6" w:rsidRDefault="00AD4911">
      <w:pPr>
        <w:spacing w:before="1"/>
        <w:ind w:left="543"/>
        <w:rPr>
          <w:rFonts w:ascii="Carlito" w:hAnsi="Carlito"/>
        </w:rPr>
      </w:pPr>
      <w:r>
        <w:rPr>
          <w:rFonts w:ascii="Carlito" w:hAnsi="Carlito"/>
        </w:rPr>
        <w:t xml:space="preserve">Za </w:t>
      </w:r>
      <w:proofErr w:type="spellStart"/>
      <w:r>
        <w:rPr>
          <w:rFonts w:ascii="Carlito" w:hAnsi="Carlito"/>
        </w:rPr>
        <w:t>s.p</w:t>
      </w:r>
      <w:proofErr w:type="spellEnd"/>
      <w:r>
        <w:rPr>
          <w:rFonts w:ascii="Carlito" w:hAnsi="Carlito"/>
        </w:rPr>
        <w:t>. se kazalnik ne računa, ker ni kapitalska družba.</w:t>
      </w:r>
    </w:p>
    <w:p w14:paraId="63C70946" w14:textId="77777777" w:rsidR="009827C6" w:rsidRDefault="009827C6">
      <w:pPr>
        <w:pStyle w:val="BodyText"/>
        <w:rPr>
          <w:rFonts w:ascii="Carlito"/>
          <w:b w:val="0"/>
          <w:sz w:val="22"/>
        </w:rPr>
      </w:pPr>
    </w:p>
    <w:p w14:paraId="6B8BDC09" w14:textId="77777777" w:rsidR="009827C6" w:rsidRDefault="009827C6">
      <w:pPr>
        <w:pStyle w:val="BodyText"/>
        <w:rPr>
          <w:rFonts w:ascii="Carlito"/>
          <w:b w:val="0"/>
          <w:sz w:val="22"/>
        </w:rPr>
      </w:pPr>
    </w:p>
    <w:p w14:paraId="6F85312A" w14:textId="77777777" w:rsidR="009827C6" w:rsidRDefault="00AD4911">
      <w:pPr>
        <w:pStyle w:val="ListParagraph"/>
        <w:numPr>
          <w:ilvl w:val="0"/>
          <w:numId w:val="1"/>
        </w:numPr>
        <w:tabs>
          <w:tab w:val="left" w:pos="547"/>
        </w:tabs>
        <w:spacing w:before="156" w:line="256" w:lineRule="auto"/>
        <w:ind w:right="117"/>
        <w:jc w:val="both"/>
        <w:rPr>
          <w:b/>
          <w:sz w:val="20"/>
        </w:rPr>
      </w:pPr>
      <w:r>
        <w:rPr>
          <w:b/>
          <w:sz w:val="20"/>
        </w:rPr>
        <w:t>Podjetje je v kolektivnem postopku zaradi insolventnosti ali če v skladu z nacionalno zakonodajo izpolnjuje merila za uvedbo kolektivnega postopka zaradi insolventnosti na zahtevo njegovih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upnikov.</w:t>
      </w:r>
    </w:p>
    <w:p w14:paraId="63BC07AD" w14:textId="77777777" w:rsidR="009827C6" w:rsidRDefault="00AD4911">
      <w:pPr>
        <w:spacing w:before="169"/>
        <w:ind w:left="546"/>
        <w:rPr>
          <w:b/>
          <w:sz w:val="20"/>
        </w:rPr>
      </w:pPr>
      <w:r>
        <w:rPr>
          <w:sz w:val="20"/>
        </w:rPr>
        <w:t>Insolventnost  se  v skladu  z  nacionalno (slovensko)  zakonodajo presoja  na  podlagi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14. člena</w:t>
      </w:r>
    </w:p>
    <w:p w14:paraId="3F7F5595" w14:textId="77777777" w:rsidR="009827C6" w:rsidRDefault="00AD4911">
      <w:pPr>
        <w:spacing w:before="16"/>
        <w:ind w:left="546"/>
        <w:rPr>
          <w:b/>
          <w:sz w:val="20"/>
        </w:rPr>
      </w:pPr>
      <w:r>
        <w:rPr>
          <w:sz w:val="20"/>
        </w:rPr>
        <w:t>Zakona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finančnem</w:t>
      </w:r>
      <w:r>
        <w:rPr>
          <w:spacing w:val="-15"/>
          <w:sz w:val="20"/>
        </w:rPr>
        <w:t xml:space="preserve"> </w:t>
      </w:r>
      <w:r>
        <w:rPr>
          <w:sz w:val="20"/>
        </w:rPr>
        <w:t>poslovanju,</w:t>
      </w:r>
      <w:r>
        <w:rPr>
          <w:spacing w:val="-16"/>
          <w:sz w:val="20"/>
        </w:rPr>
        <w:t xml:space="preserve"> </w:t>
      </w:r>
      <w:r>
        <w:rPr>
          <w:sz w:val="20"/>
        </w:rPr>
        <w:t>postopkih</w:t>
      </w:r>
      <w:r>
        <w:rPr>
          <w:spacing w:val="-16"/>
          <w:sz w:val="20"/>
        </w:rPr>
        <w:t xml:space="preserve"> </w:t>
      </w:r>
      <w:r>
        <w:rPr>
          <w:sz w:val="20"/>
        </w:rPr>
        <w:t>zaradi</w:t>
      </w:r>
      <w:r>
        <w:rPr>
          <w:spacing w:val="-18"/>
          <w:sz w:val="20"/>
        </w:rPr>
        <w:t xml:space="preserve"> </w:t>
      </w:r>
      <w:r>
        <w:rPr>
          <w:sz w:val="20"/>
        </w:rPr>
        <w:t>insolventnosti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prisilnem</w:t>
      </w:r>
      <w:r>
        <w:rPr>
          <w:spacing w:val="-17"/>
          <w:sz w:val="20"/>
        </w:rPr>
        <w:t xml:space="preserve"> </w:t>
      </w:r>
      <w:r>
        <w:rPr>
          <w:sz w:val="20"/>
        </w:rPr>
        <w:t>prenehanju</w:t>
      </w:r>
      <w:r>
        <w:rPr>
          <w:spacing w:val="-19"/>
          <w:sz w:val="20"/>
        </w:rPr>
        <w:t xml:space="preserve"> </w:t>
      </w:r>
      <w:r>
        <w:rPr>
          <w:sz w:val="20"/>
        </w:rPr>
        <w:t>(ZFPPIPP)</w:t>
      </w:r>
      <w:r>
        <w:rPr>
          <w:b/>
          <w:sz w:val="20"/>
        </w:rPr>
        <w:t>.</w:t>
      </w:r>
    </w:p>
    <w:p w14:paraId="130317E3" w14:textId="77777777" w:rsidR="009827C6" w:rsidRDefault="009827C6">
      <w:pPr>
        <w:pStyle w:val="BodyText"/>
        <w:rPr>
          <w:sz w:val="24"/>
        </w:rPr>
      </w:pPr>
    </w:p>
    <w:p w14:paraId="78B8225F" w14:textId="77777777" w:rsidR="009827C6" w:rsidRDefault="00AD4911">
      <w:pPr>
        <w:spacing w:before="153"/>
        <w:ind w:left="546"/>
        <w:rPr>
          <w:sz w:val="20"/>
        </w:rPr>
      </w:pPr>
      <w:r>
        <w:rPr>
          <w:sz w:val="20"/>
        </w:rPr>
        <w:t xml:space="preserve">V  primeru, da  ima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 xml:space="preserve">. negativen kapital, je  skladno  s prvo točko tretjega  odstavka  14. </w:t>
      </w:r>
      <w:r>
        <w:rPr>
          <w:spacing w:val="13"/>
          <w:sz w:val="20"/>
        </w:rPr>
        <w:t xml:space="preserve"> </w:t>
      </w:r>
      <w:r>
        <w:rPr>
          <w:sz w:val="20"/>
        </w:rPr>
        <w:t>člena</w:t>
      </w:r>
    </w:p>
    <w:p w14:paraId="4B0B9E95" w14:textId="77777777" w:rsidR="009827C6" w:rsidRDefault="00AD4911">
      <w:pPr>
        <w:spacing w:before="15"/>
        <w:ind w:left="546"/>
        <w:rPr>
          <w:sz w:val="20"/>
        </w:rPr>
      </w:pPr>
      <w:r>
        <w:rPr>
          <w:sz w:val="20"/>
        </w:rPr>
        <w:t>ZFPPIPP izpolnjena domneva o dolgoročni plačilni nesposobnosti.</w:t>
      </w:r>
    </w:p>
    <w:p w14:paraId="17CF8E93" w14:textId="77777777" w:rsidR="009827C6" w:rsidRDefault="009827C6">
      <w:pPr>
        <w:pStyle w:val="BodyText"/>
        <w:rPr>
          <w:b w:val="0"/>
          <w:sz w:val="24"/>
        </w:rPr>
      </w:pPr>
    </w:p>
    <w:p w14:paraId="02480A78" w14:textId="77777777" w:rsidR="009827C6" w:rsidRDefault="009827C6">
      <w:pPr>
        <w:pStyle w:val="BodyText"/>
        <w:rPr>
          <w:b w:val="0"/>
          <w:sz w:val="24"/>
        </w:rPr>
      </w:pPr>
    </w:p>
    <w:p w14:paraId="20C650D9" w14:textId="77777777" w:rsidR="009827C6" w:rsidRDefault="00AD4911">
      <w:pPr>
        <w:pStyle w:val="ListParagraph"/>
        <w:numPr>
          <w:ilvl w:val="0"/>
          <w:numId w:val="1"/>
        </w:numPr>
        <w:tabs>
          <w:tab w:val="left" w:pos="544"/>
        </w:tabs>
        <w:spacing w:before="154" w:line="259" w:lineRule="auto"/>
        <w:ind w:left="543" w:right="122" w:hanging="425"/>
        <w:jc w:val="both"/>
        <w:rPr>
          <w:b/>
          <w:sz w:val="20"/>
        </w:rPr>
      </w:pPr>
      <w:r>
        <w:rPr>
          <w:b/>
          <w:sz w:val="20"/>
        </w:rPr>
        <w:t>Podjetje je prejelo pomoč za reševanje in posojila še ni vrnilo ali prekinilo jamstva ali če je podjetje prejelo pomoč za reševanje in je še vedno predmet načrta prestrukturiranja.</w:t>
      </w:r>
    </w:p>
    <w:p w14:paraId="06FF5757" w14:textId="77777777" w:rsidR="009827C6" w:rsidRDefault="009827C6">
      <w:pPr>
        <w:pStyle w:val="BodyText"/>
        <w:rPr>
          <w:sz w:val="24"/>
        </w:rPr>
      </w:pPr>
    </w:p>
    <w:p w14:paraId="0CC668B8" w14:textId="77777777" w:rsidR="009827C6" w:rsidRDefault="009827C6">
      <w:pPr>
        <w:pStyle w:val="BodyText"/>
        <w:spacing w:before="5"/>
        <w:rPr>
          <w:sz w:val="31"/>
        </w:rPr>
      </w:pPr>
    </w:p>
    <w:p w14:paraId="32AC1297" w14:textId="77777777" w:rsidR="009827C6" w:rsidRDefault="00AD4911">
      <w:pPr>
        <w:pStyle w:val="ListParagraph"/>
        <w:numPr>
          <w:ilvl w:val="0"/>
          <w:numId w:val="1"/>
        </w:numPr>
        <w:tabs>
          <w:tab w:val="left" w:pos="477"/>
        </w:tabs>
        <w:ind w:left="476" w:hanging="359"/>
        <w:rPr>
          <w:b/>
          <w:sz w:val="20"/>
        </w:rPr>
      </w:pPr>
      <w:r>
        <w:rPr>
          <w:b/>
          <w:sz w:val="20"/>
        </w:rPr>
        <w:t>V podjetju,</w:t>
      </w:r>
      <w:r>
        <w:rPr>
          <w:b/>
          <w:sz w:val="20"/>
          <w:u w:val="single"/>
        </w:rPr>
        <w:t xml:space="preserve"> ki ni MSP</w:t>
      </w:r>
      <w:r>
        <w:rPr>
          <w:b/>
          <w:sz w:val="20"/>
        </w:rPr>
        <w:t>, je v zadnjih dveh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letih:</w:t>
      </w:r>
    </w:p>
    <w:p w14:paraId="0E520A18" w14:textId="77777777" w:rsidR="009827C6" w:rsidRDefault="00AD4911">
      <w:pPr>
        <w:pStyle w:val="ListParagraph"/>
        <w:numPr>
          <w:ilvl w:val="1"/>
          <w:numId w:val="1"/>
        </w:numPr>
        <w:tabs>
          <w:tab w:val="left" w:pos="971"/>
        </w:tabs>
        <w:spacing w:before="179"/>
        <w:rPr>
          <w:b/>
          <w:sz w:val="20"/>
        </w:rPr>
      </w:pPr>
      <w:r>
        <w:rPr>
          <w:b/>
          <w:sz w:val="20"/>
        </w:rPr>
        <w:t>knjigovodsko razmerje med dolgovi in lastnim kapitalom večje 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7,5.</w:t>
      </w:r>
    </w:p>
    <w:p w14:paraId="7C59E905" w14:textId="77777777" w:rsidR="009827C6" w:rsidRDefault="00AD4911">
      <w:pPr>
        <w:spacing w:before="181"/>
        <w:ind w:left="826"/>
        <w:rPr>
          <w:sz w:val="20"/>
        </w:rPr>
      </w:pPr>
      <w:r>
        <w:rPr>
          <w:sz w:val="20"/>
        </w:rPr>
        <w:t>Predlog formule:</w:t>
      </w:r>
    </w:p>
    <w:p w14:paraId="204D6EC3" w14:textId="77777777" w:rsidR="009827C6" w:rsidRDefault="009827C6">
      <w:pPr>
        <w:pStyle w:val="BodyText"/>
        <w:spacing w:before="7" w:after="1"/>
        <w:rPr>
          <w:b w:val="0"/>
          <w:sz w:val="15"/>
        </w:rPr>
      </w:pPr>
    </w:p>
    <w:tbl>
      <w:tblPr>
        <w:tblW w:w="0" w:type="auto"/>
        <w:tblInd w:w="5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</w:tblGrid>
      <w:tr w:rsidR="009827C6" w14:paraId="4DAD3475" w14:textId="77777777">
        <w:trPr>
          <w:trHeight w:val="457"/>
        </w:trPr>
        <w:tc>
          <w:tcPr>
            <w:tcW w:w="6519" w:type="dxa"/>
            <w:tcBorders>
              <w:bottom w:val="single" w:sz="4" w:space="0" w:color="000000"/>
            </w:tcBorders>
          </w:tcPr>
          <w:p w14:paraId="559EF1C0" w14:textId="77777777" w:rsidR="009827C6" w:rsidRDefault="00AD4911">
            <w:pPr>
              <w:pStyle w:val="TableParagraph"/>
              <w:spacing w:before="153"/>
              <w:ind w:right="555"/>
              <w:rPr>
                <w:sz w:val="18"/>
              </w:rPr>
            </w:pPr>
            <w:r>
              <w:rPr>
                <w:sz w:val="18"/>
              </w:rPr>
              <w:t>Dolgoročne finančne obveznosti + Kratkoročne finančne obveznosti</w:t>
            </w:r>
          </w:p>
        </w:tc>
      </w:tr>
      <w:tr w:rsidR="009827C6" w14:paraId="1F4278F4" w14:textId="77777777">
        <w:trPr>
          <w:trHeight w:val="455"/>
        </w:trPr>
        <w:tc>
          <w:tcPr>
            <w:tcW w:w="6519" w:type="dxa"/>
            <w:tcBorders>
              <w:top w:val="single" w:sz="4" w:space="0" w:color="000000"/>
            </w:tcBorders>
          </w:tcPr>
          <w:p w14:paraId="08C240F4" w14:textId="77777777" w:rsidR="009827C6" w:rsidRDefault="00AD4911">
            <w:pPr>
              <w:pStyle w:val="TableParagraph"/>
              <w:spacing w:before="62"/>
              <w:ind w:right="555"/>
              <w:rPr>
                <w:sz w:val="18"/>
              </w:rPr>
            </w:pPr>
            <w:r>
              <w:rPr>
                <w:sz w:val="18"/>
              </w:rPr>
              <w:t>Kapital</w:t>
            </w:r>
          </w:p>
        </w:tc>
      </w:tr>
    </w:tbl>
    <w:p w14:paraId="5426F7D7" w14:textId="77777777" w:rsidR="009827C6" w:rsidRDefault="009827C6">
      <w:pPr>
        <w:pStyle w:val="BodyText"/>
        <w:spacing w:before="2"/>
        <w:rPr>
          <w:b w:val="0"/>
          <w:sz w:val="22"/>
        </w:rPr>
      </w:pPr>
    </w:p>
    <w:p w14:paraId="75FECCB7" w14:textId="77777777" w:rsidR="009827C6" w:rsidRDefault="00AD4911">
      <w:pPr>
        <w:ind w:left="685"/>
        <w:rPr>
          <w:sz w:val="20"/>
        </w:rPr>
      </w:pPr>
      <w:r>
        <w:rPr>
          <w:sz w:val="20"/>
        </w:rPr>
        <w:t>oz. z AOP</w:t>
      </w:r>
    </w:p>
    <w:p w14:paraId="4B0091F9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</w:tblGrid>
      <w:tr w:rsidR="009827C6" w14:paraId="6DD83B96" w14:textId="77777777">
        <w:trPr>
          <w:trHeight w:val="458"/>
        </w:trPr>
        <w:tc>
          <w:tcPr>
            <w:tcW w:w="6519" w:type="dxa"/>
            <w:tcBorders>
              <w:bottom w:val="single" w:sz="4" w:space="0" w:color="000000"/>
            </w:tcBorders>
          </w:tcPr>
          <w:p w14:paraId="6FECE348" w14:textId="77777777" w:rsidR="009827C6" w:rsidRDefault="00AD4911">
            <w:pPr>
              <w:pStyle w:val="TableParagraph"/>
              <w:spacing w:before="153"/>
              <w:ind w:right="555"/>
              <w:rPr>
                <w:sz w:val="18"/>
              </w:rPr>
            </w:pPr>
            <w:r>
              <w:rPr>
                <w:sz w:val="18"/>
              </w:rPr>
              <w:t>AOP076 + AOP087</w:t>
            </w:r>
          </w:p>
        </w:tc>
      </w:tr>
      <w:tr w:rsidR="009827C6" w14:paraId="215CB058" w14:textId="77777777">
        <w:trPr>
          <w:trHeight w:val="455"/>
        </w:trPr>
        <w:tc>
          <w:tcPr>
            <w:tcW w:w="6519" w:type="dxa"/>
            <w:tcBorders>
              <w:top w:val="single" w:sz="4" w:space="0" w:color="000000"/>
            </w:tcBorders>
          </w:tcPr>
          <w:p w14:paraId="1B72E234" w14:textId="77777777" w:rsidR="009827C6" w:rsidRDefault="00AD4911">
            <w:pPr>
              <w:pStyle w:val="TableParagraph"/>
              <w:spacing w:before="62"/>
              <w:ind w:right="553"/>
              <w:rPr>
                <w:sz w:val="18"/>
              </w:rPr>
            </w:pPr>
            <w:r>
              <w:rPr>
                <w:sz w:val="18"/>
              </w:rPr>
              <w:t>AOP056</w:t>
            </w:r>
          </w:p>
        </w:tc>
      </w:tr>
    </w:tbl>
    <w:p w14:paraId="7BE5F66F" w14:textId="77777777" w:rsidR="009827C6" w:rsidRDefault="009827C6">
      <w:pPr>
        <w:rPr>
          <w:sz w:val="18"/>
        </w:rPr>
        <w:sectPr w:rsidR="009827C6">
          <w:pgSz w:w="11910" w:h="16840"/>
          <w:pgMar w:top="1320" w:right="1300" w:bottom="280" w:left="1300" w:header="708" w:footer="708" w:gutter="0"/>
          <w:cols w:space="708"/>
        </w:sectPr>
      </w:pPr>
    </w:p>
    <w:p w14:paraId="402BF1B1" w14:textId="77777777" w:rsidR="009827C6" w:rsidRDefault="00AD4911">
      <w:pPr>
        <w:pStyle w:val="ListParagraph"/>
        <w:numPr>
          <w:ilvl w:val="1"/>
          <w:numId w:val="1"/>
        </w:numPr>
        <w:tabs>
          <w:tab w:val="left" w:pos="971"/>
        </w:tabs>
        <w:spacing w:before="81" w:line="256" w:lineRule="auto"/>
        <w:ind w:right="116" w:hanging="360"/>
        <w:rPr>
          <w:b/>
          <w:sz w:val="20"/>
        </w:rPr>
      </w:pPr>
      <w:r>
        <w:rPr>
          <w:b/>
          <w:sz w:val="20"/>
        </w:rPr>
        <w:lastRenderedPageBreak/>
        <w:t>razmerje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dobičkom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podjetja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obrestmi,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davki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amortizacijo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(EBITDA)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 obrestmi nižje 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1,0.</w:t>
      </w:r>
    </w:p>
    <w:p w14:paraId="70E3E665" w14:textId="77777777" w:rsidR="009827C6" w:rsidRDefault="00AD4911">
      <w:pPr>
        <w:spacing w:before="163"/>
        <w:ind w:left="826"/>
        <w:rPr>
          <w:sz w:val="20"/>
        </w:rPr>
      </w:pPr>
      <w:r>
        <w:rPr>
          <w:sz w:val="20"/>
        </w:rPr>
        <w:t>Predlog formule:</w:t>
      </w:r>
    </w:p>
    <w:p w14:paraId="720A9B63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</w:tblGrid>
      <w:tr w:rsidR="009827C6" w14:paraId="17BCCB22" w14:textId="77777777">
        <w:trPr>
          <w:trHeight w:val="457"/>
        </w:trPr>
        <w:tc>
          <w:tcPr>
            <w:tcW w:w="6519" w:type="dxa"/>
            <w:tcBorders>
              <w:bottom w:val="single" w:sz="4" w:space="0" w:color="000000"/>
            </w:tcBorders>
          </w:tcPr>
          <w:p w14:paraId="1BF817FB" w14:textId="77777777" w:rsidR="009827C6" w:rsidRDefault="00AD4911">
            <w:pPr>
              <w:pStyle w:val="TableParagraph"/>
              <w:spacing w:before="153"/>
              <w:ind w:right="552"/>
              <w:rPr>
                <w:sz w:val="18"/>
              </w:rPr>
            </w:pPr>
            <w:r>
              <w:rPr>
                <w:sz w:val="18"/>
              </w:rPr>
              <w:t>Dobiček iz poslovanja – Izguba iz poslovanja + Amortizacija</w:t>
            </w:r>
          </w:p>
        </w:tc>
      </w:tr>
      <w:tr w:rsidR="009827C6" w14:paraId="0F4FD3A6" w14:textId="77777777">
        <w:trPr>
          <w:trHeight w:val="455"/>
        </w:trPr>
        <w:tc>
          <w:tcPr>
            <w:tcW w:w="6519" w:type="dxa"/>
            <w:tcBorders>
              <w:top w:val="single" w:sz="4" w:space="0" w:color="000000"/>
            </w:tcBorders>
          </w:tcPr>
          <w:p w14:paraId="40C98DC0" w14:textId="77777777" w:rsidR="009827C6" w:rsidRDefault="00AD4911">
            <w:pPr>
              <w:pStyle w:val="TableParagraph"/>
              <w:spacing w:before="62"/>
              <w:ind w:right="551"/>
              <w:rPr>
                <w:sz w:val="18"/>
              </w:rPr>
            </w:pPr>
            <w:r>
              <w:rPr>
                <w:sz w:val="18"/>
              </w:rPr>
              <w:t>Finančni odhodki za obresti</w:t>
            </w:r>
          </w:p>
        </w:tc>
      </w:tr>
    </w:tbl>
    <w:p w14:paraId="04773311" w14:textId="77777777" w:rsidR="009827C6" w:rsidRDefault="009827C6">
      <w:pPr>
        <w:pStyle w:val="BodyText"/>
        <w:spacing w:before="6"/>
        <w:rPr>
          <w:b w:val="0"/>
          <w:sz w:val="35"/>
        </w:rPr>
      </w:pPr>
    </w:p>
    <w:p w14:paraId="6BEEC9A5" w14:textId="77777777" w:rsidR="009827C6" w:rsidRDefault="00AD4911">
      <w:pPr>
        <w:ind w:left="685"/>
        <w:rPr>
          <w:sz w:val="20"/>
        </w:rPr>
      </w:pPr>
      <w:r>
        <w:rPr>
          <w:sz w:val="20"/>
        </w:rPr>
        <w:t>oz. z AOP</w:t>
      </w:r>
    </w:p>
    <w:p w14:paraId="42BAC12B" w14:textId="77777777" w:rsidR="009827C6" w:rsidRDefault="009827C6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5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</w:tblGrid>
      <w:tr w:rsidR="009827C6" w14:paraId="10A0DCB8" w14:textId="77777777">
        <w:trPr>
          <w:trHeight w:val="457"/>
        </w:trPr>
        <w:tc>
          <w:tcPr>
            <w:tcW w:w="6519" w:type="dxa"/>
            <w:tcBorders>
              <w:bottom w:val="single" w:sz="4" w:space="0" w:color="000000"/>
            </w:tcBorders>
          </w:tcPr>
          <w:p w14:paraId="11915CC6" w14:textId="77777777" w:rsidR="009827C6" w:rsidRDefault="00AD4911">
            <w:pPr>
              <w:pStyle w:val="TableParagraph"/>
              <w:spacing w:before="153"/>
              <w:ind w:right="555"/>
              <w:rPr>
                <w:sz w:val="18"/>
              </w:rPr>
            </w:pPr>
            <w:r>
              <w:rPr>
                <w:sz w:val="18"/>
              </w:rPr>
              <w:t>AOP151 – AOP152 + AOP145</w:t>
            </w:r>
          </w:p>
        </w:tc>
      </w:tr>
      <w:tr w:rsidR="009827C6" w14:paraId="66619645" w14:textId="77777777">
        <w:trPr>
          <w:trHeight w:val="455"/>
        </w:trPr>
        <w:tc>
          <w:tcPr>
            <w:tcW w:w="6519" w:type="dxa"/>
            <w:tcBorders>
              <w:top w:val="single" w:sz="4" w:space="0" w:color="000000"/>
            </w:tcBorders>
          </w:tcPr>
          <w:p w14:paraId="06402895" w14:textId="77777777" w:rsidR="009827C6" w:rsidRDefault="00AD4911">
            <w:pPr>
              <w:pStyle w:val="TableParagraph"/>
              <w:spacing w:before="62"/>
              <w:ind w:right="553"/>
              <w:rPr>
                <w:sz w:val="18"/>
              </w:rPr>
            </w:pPr>
            <w:r>
              <w:rPr>
                <w:sz w:val="18"/>
              </w:rPr>
              <w:t>AOP167</w:t>
            </w:r>
          </w:p>
        </w:tc>
      </w:tr>
    </w:tbl>
    <w:p w14:paraId="48CED378" w14:textId="77777777" w:rsidR="009827C6" w:rsidRDefault="009827C6">
      <w:pPr>
        <w:pStyle w:val="BodyText"/>
        <w:spacing w:before="6"/>
        <w:rPr>
          <w:b w:val="0"/>
          <w:sz w:val="35"/>
        </w:rPr>
      </w:pPr>
    </w:p>
    <w:p w14:paraId="41938CD8" w14:textId="77777777" w:rsidR="009827C6" w:rsidRDefault="00AD4911">
      <w:pPr>
        <w:spacing w:before="1"/>
        <w:ind w:left="685"/>
        <w:rPr>
          <w:sz w:val="20"/>
        </w:rPr>
      </w:pPr>
      <w:r>
        <w:rPr>
          <w:sz w:val="20"/>
        </w:rPr>
        <w:t>Oba kazalnika morata biti v zadnjih dveh letih izpolnjena hkrati.</w:t>
      </w:r>
    </w:p>
    <w:p w14:paraId="548F03AC" w14:textId="77777777" w:rsidR="009827C6" w:rsidRDefault="00AD4911">
      <w:pPr>
        <w:spacing w:before="181"/>
        <w:ind w:left="685"/>
        <w:rPr>
          <w:sz w:val="20"/>
        </w:rPr>
      </w:pPr>
      <w:r>
        <w:rPr>
          <w:sz w:val="20"/>
        </w:rPr>
        <w:t xml:space="preserve">Opozarjamo, da je v slovenskem prevodu </w:t>
      </w:r>
      <w:proofErr w:type="spellStart"/>
      <w:r>
        <w:rPr>
          <w:sz w:val="20"/>
        </w:rPr>
        <w:t>Gber</w:t>
      </w:r>
      <w:proofErr w:type="spellEnd"/>
      <w:r>
        <w:rPr>
          <w:sz w:val="20"/>
        </w:rPr>
        <w:t xml:space="preserve"> števec kazalnika (EBITDA) napačno preveden v</w:t>
      </w:r>
    </w:p>
    <w:p w14:paraId="0D8CC916" w14:textId="77777777" w:rsidR="009827C6" w:rsidRDefault="00AD4911">
      <w:pPr>
        <w:spacing w:before="17"/>
        <w:ind w:left="685"/>
        <w:rPr>
          <w:sz w:val="20"/>
        </w:rPr>
      </w:pPr>
      <w:r>
        <w:rPr>
          <w:sz w:val="20"/>
        </w:rPr>
        <w:t>EBIT.</w:t>
      </w:r>
    </w:p>
    <w:p w14:paraId="6D0AFE2C" w14:textId="77777777" w:rsidR="009827C6" w:rsidRDefault="009827C6">
      <w:pPr>
        <w:pStyle w:val="BodyText"/>
        <w:rPr>
          <w:b w:val="0"/>
          <w:sz w:val="24"/>
        </w:rPr>
      </w:pPr>
    </w:p>
    <w:p w14:paraId="59C5CC21" w14:textId="77777777" w:rsidR="009827C6" w:rsidRDefault="009827C6">
      <w:pPr>
        <w:pStyle w:val="BodyText"/>
        <w:spacing w:before="10"/>
        <w:rPr>
          <w:b w:val="0"/>
          <w:sz w:val="25"/>
        </w:rPr>
      </w:pPr>
    </w:p>
    <w:p w14:paraId="1434E86E" w14:textId="77777777" w:rsidR="009827C6" w:rsidRDefault="00AD4911">
      <w:pPr>
        <w:spacing w:line="256" w:lineRule="auto"/>
        <w:ind w:left="685"/>
        <w:rPr>
          <w:sz w:val="20"/>
        </w:rPr>
      </w:pPr>
      <w:r>
        <w:rPr>
          <w:sz w:val="20"/>
        </w:rPr>
        <w:t xml:space="preserve">Podatki za izračun kazalnikov so opredeljeni z AOP-ji za gospodarske družbe. Za presojo drugih subjektov (npr. zadrug,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.,…) se AOP-ji smiselno prilagodijo.</w:t>
      </w:r>
    </w:p>
    <w:sectPr w:rsidR="009827C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D6A74"/>
    <w:multiLevelType w:val="hybridMultilevel"/>
    <w:tmpl w:val="4A5635AE"/>
    <w:lvl w:ilvl="0" w:tplc="E460C966">
      <w:start w:val="1"/>
      <w:numFmt w:val="lowerLetter"/>
      <w:lvlText w:val="(%1)"/>
      <w:lvlJc w:val="left"/>
      <w:pPr>
        <w:ind w:left="546" w:hanging="42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sl-SI" w:eastAsia="en-US" w:bidi="ar-SA"/>
      </w:rPr>
    </w:lvl>
    <w:lvl w:ilvl="1" w:tplc="D19C07CA">
      <w:start w:val="1"/>
      <w:numFmt w:val="decimal"/>
      <w:lvlText w:val="%2."/>
      <w:lvlJc w:val="left"/>
      <w:pPr>
        <w:ind w:left="970" w:hanging="35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sl-SI" w:eastAsia="en-US" w:bidi="ar-SA"/>
      </w:rPr>
    </w:lvl>
    <w:lvl w:ilvl="2" w:tplc="36780C44">
      <w:numFmt w:val="bullet"/>
      <w:lvlText w:val="•"/>
      <w:lvlJc w:val="left"/>
      <w:pPr>
        <w:ind w:left="980" w:hanging="358"/>
      </w:pPr>
      <w:rPr>
        <w:rFonts w:hint="default"/>
        <w:lang w:val="sl-SI" w:eastAsia="en-US" w:bidi="ar-SA"/>
      </w:rPr>
    </w:lvl>
    <w:lvl w:ilvl="3" w:tplc="E454F462">
      <w:numFmt w:val="bullet"/>
      <w:lvlText w:val="•"/>
      <w:lvlJc w:val="left"/>
      <w:pPr>
        <w:ind w:left="2020" w:hanging="358"/>
      </w:pPr>
      <w:rPr>
        <w:rFonts w:hint="default"/>
        <w:lang w:val="sl-SI" w:eastAsia="en-US" w:bidi="ar-SA"/>
      </w:rPr>
    </w:lvl>
    <w:lvl w:ilvl="4" w:tplc="FB6E5890">
      <w:numFmt w:val="bullet"/>
      <w:lvlText w:val="•"/>
      <w:lvlJc w:val="left"/>
      <w:pPr>
        <w:ind w:left="3061" w:hanging="358"/>
      </w:pPr>
      <w:rPr>
        <w:rFonts w:hint="default"/>
        <w:lang w:val="sl-SI" w:eastAsia="en-US" w:bidi="ar-SA"/>
      </w:rPr>
    </w:lvl>
    <w:lvl w:ilvl="5" w:tplc="DE1C7AE0">
      <w:numFmt w:val="bullet"/>
      <w:lvlText w:val="•"/>
      <w:lvlJc w:val="left"/>
      <w:pPr>
        <w:ind w:left="4102" w:hanging="358"/>
      </w:pPr>
      <w:rPr>
        <w:rFonts w:hint="default"/>
        <w:lang w:val="sl-SI" w:eastAsia="en-US" w:bidi="ar-SA"/>
      </w:rPr>
    </w:lvl>
    <w:lvl w:ilvl="6" w:tplc="7AA0BB1C">
      <w:numFmt w:val="bullet"/>
      <w:lvlText w:val="•"/>
      <w:lvlJc w:val="left"/>
      <w:pPr>
        <w:ind w:left="5143" w:hanging="358"/>
      </w:pPr>
      <w:rPr>
        <w:rFonts w:hint="default"/>
        <w:lang w:val="sl-SI" w:eastAsia="en-US" w:bidi="ar-SA"/>
      </w:rPr>
    </w:lvl>
    <w:lvl w:ilvl="7" w:tplc="AA3C3AEA">
      <w:numFmt w:val="bullet"/>
      <w:lvlText w:val="•"/>
      <w:lvlJc w:val="left"/>
      <w:pPr>
        <w:ind w:left="6184" w:hanging="358"/>
      </w:pPr>
      <w:rPr>
        <w:rFonts w:hint="default"/>
        <w:lang w:val="sl-SI" w:eastAsia="en-US" w:bidi="ar-SA"/>
      </w:rPr>
    </w:lvl>
    <w:lvl w:ilvl="8" w:tplc="A336EE72">
      <w:numFmt w:val="bullet"/>
      <w:lvlText w:val="•"/>
      <w:lvlJc w:val="left"/>
      <w:pPr>
        <w:ind w:left="7224" w:hanging="358"/>
      </w:pPr>
      <w:rPr>
        <w:rFonts w:hint="default"/>
        <w:lang w:val="sl-SI" w:eastAsia="en-US" w:bidi="ar-SA"/>
      </w:rPr>
    </w:lvl>
  </w:abstractNum>
  <w:num w:numId="1" w16cid:durableId="137704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C6"/>
    <w:rsid w:val="001C13B1"/>
    <w:rsid w:val="002A0774"/>
    <w:rsid w:val="00335491"/>
    <w:rsid w:val="00391723"/>
    <w:rsid w:val="006102EF"/>
    <w:rsid w:val="009827C6"/>
    <w:rsid w:val="00A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6574"/>
  <w15:docId w15:val="{E81534AD-3B81-48AD-BFB1-85576BE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sl-SI"/>
    </w:rPr>
  </w:style>
  <w:style w:type="paragraph" w:styleId="Heading1">
    <w:name w:val="heading 1"/>
    <w:basedOn w:val="Normal"/>
    <w:uiPriority w:val="1"/>
    <w:qFormat/>
    <w:pPr>
      <w:ind w:left="543"/>
      <w:outlineLvl w:val="0"/>
    </w:pPr>
    <w:rPr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6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46"/>
      <w:jc w:val="center"/>
    </w:pPr>
  </w:style>
  <w:style w:type="paragraph" w:styleId="Revision">
    <w:name w:val="Revision"/>
    <w:hidden/>
    <w:uiPriority w:val="99"/>
    <w:semiHidden/>
    <w:rsid w:val="002A0774"/>
    <w:pPr>
      <w:widowControl/>
      <w:autoSpaceDE/>
      <w:autoSpaceDN/>
    </w:pPr>
    <w:rPr>
      <w:rFonts w:ascii="Tahoma" w:eastAsia="Tahoma" w:hAnsi="Tahoma" w:cs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Darjana Vidic</dc:creator>
  <cp:lastModifiedBy>Tadeja Maznik</cp:lastModifiedBy>
  <cp:revision>3</cp:revision>
  <dcterms:created xsi:type="dcterms:W3CDTF">2024-04-08T13:03:00Z</dcterms:created>
  <dcterms:modified xsi:type="dcterms:W3CDTF">2024-04-08T13:03:00Z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2020-06-09T00:00:00Z</vt:filetime>
  </property>
</Properties>
</file>